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5820" w14:textId="77777777" w:rsidR="00790517" w:rsidRPr="002757B2" w:rsidRDefault="00790517">
      <w:pPr>
        <w:pStyle w:val="Default"/>
        <w:rPr>
          <w:rFonts w:eastAsia="Calibri"/>
          <w:b/>
          <w:bCs/>
          <w:color w:val="CF4A02"/>
          <w:sz w:val="22"/>
          <w:szCs w:val="22"/>
        </w:rPr>
      </w:pPr>
      <w:r w:rsidRPr="002757B2">
        <w:rPr>
          <w:rFonts w:eastAsia="Calibri"/>
          <w:b/>
          <w:bCs/>
          <w:color w:val="CF4A02"/>
          <w:sz w:val="22"/>
          <w:szCs w:val="22"/>
        </w:rPr>
        <w:t>I</w:t>
      </w:r>
      <w:r w:rsidR="00886FDA" w:rsidRPr="002757B2">
        <w:rPr>
          <w:rFonts w:eastAsia="Calibri"/>
          <w:b/>
          <w:bCs/>
          <w:color w:val="CF4A02"/>
          <w:sz w:val="22"/>
          <w:szCs w:val="22"/>
        </w:rPr>
        <w:t>ndependent</w:t>
      </w:r>
      <w:r w:rsidRPr="002757B2">
        <w:rPr>
          <w:rFonts w:eastAsia="Calibri"/>
          <w:b/>
          <w:bCs/>
          <w:color w:val="CF4A02"/>
          <w:sz w:val="22"/>
          <w:szCs w:val="22"/>
        </w:rPr>
        <w:t xml:space="preserve"> </w:t>
      </w:r>
      <w:r w:rsidR="008E0FC2" w:rsidRPr="002757B2">
        <w:rPr>
          <w:rFonts w:eastAsia="Calibri"/>
          <w:b/>
          <w:bCs/>
          <w:color w:val="CF4A02"/>
          <w:sz w:val="22"/>
          <w:szCs w:val="22"/>
        </w:rPr>
        <w:t>A</w:t>
      </w:r>
      <w:r w:rsidR="00886FDA" w:rsidRPr="002757B2">
        <w:rPr>
          <w:rFonts w:eastAsia="Calibri"/>
          <w:b/>
          <w:bCs/>
          <w:color w:val="CF4A02"/>
          <w:sz w:val="22"/>
          <w:szCs w:val="22"/>
        </w:rPr>
        <w:t>uditor</w:t>
      </w:r>
      <w:r w:rsidRPr="002757B2">
        <w:rPr>
          <w:rFonts w:eastAsia="Calibri"/>
          <w:b/>
          <w:bCs/>
          <w:color w:val="CF4A02"/>
          <w:sz w:val="22"/>
          <w:szCs w:val="22"/>
        </w:rPr>
        <w:t>’</w:t>
      </w:r>
      <w:r w:rsidR="00886FDA" w:rsidRPr="002757B2">
        <w:rPr>
          <w:rFonts w:eastAsia="Calibri"/>
          <w:b/>
          <w:bCs/>
          <w:color w:val="CF4A02"/>
          <w:sz w:val="22"/>
          <w:szCs w:val="22"/>
        </w:rPr>
        <w:t xml:space="preserve">s </w:t>
      </w:r>
      <w:r w:rsidR="008E0FC2" w:rsidRPr="002757B2">
        <w:rPr>
          <w:rFonts w:eastAsia="Calibri"/>
          <w:b/>
          <w:bCs/>
          <w:color w:val="CF4A02"/>
          <w:sz w:val="22"/>
          <w:szCs w:val="22"/>
        </w:rPr>
        <w:t>R</w:t>
      </w:r>
      <w:r w:rsidR="00886FDA" w:rsidRPr="002757B2">
        <w:rPr>
          <w:rFonts w:eastAsia="Calibri"/>
          <w:b/>
          <w:bCs/>
          <w:color w:val="CF4A02"/>
          <w:sz w:val="22"/>
          <w:szCs w:val="22"/>
        </w:rPr>
        <w:t>eport</w:t>
      </w:r>
    </w:p>
    <w:p w14:paraId="6C0F9871" w14:textId="77777777" w:rsidR="000D55B0" w:rsidRPr="002757B2" w:rsidRDefault="000D55B0">
      <w:pPr>
        <w:pStyle w:val="Default"/>
        <w:rPr>
          <w:b/>
          <w:bCs/>
          <w:color w:val="CF4A02"/>
          <w:sz w:val="20"/>
          <w:szCs w:val="20"/>
        </w:rPr>
      </w:pPr>
    </w:p>
    <w:p w14:paraId="2D581892" w14:textId="77777777" w:rsidR="000D55B0" w:rsidRPr="002757B2" w:rsidRDefault="000D55B0">
      <w:pPr>
        <w:pStyle w:val="Default"/>
        <w:rPr>
          <w:color w:val="CF4A02"/>
          <w:sz w:val="20"/>
          <w:szCs w:val="20"/>
        </w:rPr>
      </w:pPr>
    </w:p>
    <w:p w14:paraId="27B353B6" w14:textId="77777777" w:rsidR="00790517" w:rsidRPr="002757B2" w:rsidRDefault="00E07F94">
      <w:pPr>
        <w:pStyle w:val="Default"/>
        <w:rPr>
          <w:rFonts w:eastAsia="Calibri"/>
          <w:color w:val="CF4A02"/>
          <w:sz w:val="20"/>
          <w:szCs w:val="20"/>
        </w:rPr>
      </w:pPr>
      <w:r w:rsidRPr="002757B2">
        <w:rPr>
          <w:rFonts w:eastAsia="Calibri"/>
          <w:color w:val="CF4A02"/>
          <w:sz w:val="20"/>
          <w:szCs w:val="20"/>
        </w:rPr>
        <w:t>To the s</w:t>
      </w:r>
      <w:r w:rsidR="00790517" w:rsidRPr="002757B2">
        <w:rPr>
          <w:rFonts w:eastAsia="Calibri"/>
          <w:color w:val="CF4A02"/>
          <w:sz w:val="20"/>
          <w:szCs w:val="20"/>
        </w:rPr>
        <w:t>hareholders</w:t>
      </w:r>
      <w:r w:rsidR="00C57B30">
        <w:rPr>
          <w:rFonts w:eastAsia="Calibri"/>
          <w:color w:val="CF4A02"/>
          <w:sz w:val="20"/>
          <w:szCs w:val="20"/>
        </w:rPr>
        <w:t xml:space="preserve"> </w:t>
      </w:r>
      <w:r w:rsidR="005F1C97" w:rsidRPr="002757B2">
        <w:rPr>
          <w:rFonts w:eastAsia="Calibri"/>
          <w:color w:val="CF4A02"/>
          <w:sz w:val="20"/>
          <w:szCs w:val="20"/>
        </w:rPr>
        <w:t xml:space="preserve">of </w:t>
      </w:r>
      <w:r w:rsidR="00C57B30">
        <w:rPr>
          <w:rFonts w:eastAsia="Calibri"/>
          <w:color w:val="CF4A02"/>
          <w:sz w:val="20"/>
          <w:szCs w:val="20"/>
        </w:rPr>
        <w:t>Energy Absolute Public Company Limited</w:t>
      </w:r>
      <w:r w:rsidR="00790517" w:rsidRPr="002757B2">
        <w:rPr>
          <w:rFonts w:eastAsia="Calibri"/>
          <w:color w:val="CF4A02"/>
          <w:sz w:val="20"/>
          <w:szCs w:val="20"/>
        </w:rPr>
        <w:t xml:space="preserve"> </w:t>
      </w:r>
    </w:p>
    <w:p w14:paraId="259F2936" w14:textId="77777777" w:rsidR="00790517" w:rsidRPr="002757B2" w:rsidRDefault="00790517">
      <w:pPr>
        <w:pStyle w:val="Default"/>
        <w:rPr>
          <w:b/>
          <w:bCs/>
          <w:color w:val="CF4A02"/>
          <w:sz w:val="20"/>
          <w:szCs w:val="20"/>
        </w:rPr>
      </w:pPr>
    </w:p>
    <w:p w14:paraId="65FCCA04" w14:textId="77777777" w:rsidR="00790517" w:rsidRPr="00CD3942" w:rsidRDefault="00790517">
      <w:pPr>
        <w:pStyle w:val="Default"/>
        <w:rPr>
          <w:b/>
          <w:bCs/>
          <w:color w:val="CF4A02"/>
          <w:sz w:val="20"/>
          <w:szCs w:val="20"/>
        </w:rPr>
      </w:pPr>
    </w:p>
    <w:p w14:paraId="2DDEEDA5" w14:textId="77777777" w:rsidR="00790517" w:rsidRPr="002757B2" w:rsidRDefault="009D6C4B" w:rsidP="00F67AF3">
      <w:pPr>
        <w:pStyle w:val="Default"/>
        <w:jc w:val="thaiDistribute"/>
        <w:rPr>
          <w:rFonts w:eastAsia="Calibri"/>
          <w:b/>
          <w:bCs/>
          <w:color w:val="CF4A02"/>
          <w:sz w:val="20"/>
          <w:szCs w:val="20"/>
        </w:rPr>
      </w:pPr>
      <w:r w:rsidRPr="002757B2">
        <w:rPr>
          <w:rFonts w:eastAsia="Calibri"/>
          <w:b/>
          <w:bCs/>
          <w:color w:val="CF4A02"/>
          <w:sz w:val="20"/>
          <w:szCs w:val="20"/>
        </w:rPr>
        <w:t>My o</w:t>
      </w:r>
      <w:r w:rsidR="00790517" w:rsidRPr="002757B2">
        <w:rPr>
          <w:rFonts w:eastAsia="Calibri"/>
          <w:b/>
          <w:bCs/>
          <w:color w:val="CF4A02"/>
          <w:sz w:val="20"/>
          <w:szCs w:val="20"/>
        </w:rPr>
        <w:t xml:space="preserve">pinion </w:t>
      </w:r>
    </w:p>
    <w:p w14:paraId="5C4FA5E3" w14:textId="77777777" w:rsidR="00E3702E" w:rsidRPr="00EE17E9" w:rsidRDefault="00E3702E" w:rsidP="00F67AF3">
      <w:pPr>
        <w:pStyle w:val="Default"/>
        <w:jc w:val="thaiDistribute"/>
        <w:rPr>
          <w:rFonts w:eastAsia="Calibri"/>
          <w:b/>
          <w:bCs/>
          <w:color w:val="000000" w:themeColor="text1"/>
          <w:sz w:val="12"/>
          <w:szCs w:val="12"/>
        </w:rPr>
      </w:pPr>
    </w:p>
    <w:p w14:paraId="769BD239" w14:textId="2686F937" w:rsidR="009D6C4B" w:rsidRPr="00026EFC" w:rsidRDefault="009D6C4B" w:rsidP="008B018B">
      <w:pPr>
        <w:spacing w:after="0" w:line="240" w:lineRule="auto"/>
        <w:jc w:val="thaiDistribute"/>
        <w:rPr>
          <w:rFonts w:ascii="Arial" w:hAnsi="Arial" w:cs="Arial"/>
          <w:spacing w:val="-2"/>
          <w:sz w:val="20"/>
          <w:szCs w:val="20"/>
        </w:rPr>
      </w:pPr>
      <w:r w:rsidRPr="00026EFC">
        <w:rPr>
          <w:rFonts w:ascii="Arial" w:hAnsi="Arial" w:cs="Arial"/>
          <w:sz w:val="20"/>
          <w:szCs w:val="20"/>
        </w:rPr>
        <w:t xml:space="preserve">In my opinion, the consolidated </w:t>
      </w:r>
      <w:r w:rsidR="00AF7479" w:rsidRPr="00026EFC">
        <w:rPr>
          <w:rFonts w:ascii="Arial" w:hAnsi="Arial" w:cs="Arial"/>
          <w:sz w:val="20"/>
          <w:szCs w:val="20"/>
        </w:rPr>
        <w:t xml:space="preserve">financial statements </w:t>
      </w:r>
      <w:r w:rsidR="00AF7479" w:rsidRPr="00026EFC">
        <w:rPr>
          <w:rFonts w:ascii="Arial" w:hAnsi="Arial" w:cs="Arial"/>
          <w:sz w:val="20"/>
          <w:szCs w:val="20"/>
          <w:lang w:val="en-US"/>
        </w:rPr>
        <w:t xml:space="preserve">and the </w:t>
      </w:r>
      <w:r w:rsidR="00AF7479" w:rsidRPr="00026EFC">
        <w:rPr>
          <w:rFonts w:ascii="Arial" w:hAnsi="Arial" w:cs="Arial"/>
          <w:sz w:val="20"/>
          <w:szCs w:val="20"/>
        </w:rPr>
        <w:t xml:space="preserve">separate financial statements </w:t>
      </w:r>
      <w:r w:rsidRPr="00026EFC">
        <w:rPr>
          <w:rFonts w:ascii="Arial" w:hAnsi="Arial" w:cs="Arial"/>
          <w:sz w:val="20"/>
          <w:szCs w:val="20"/>
        </w:rPr>
        <w:t>present fairly, in all material respects, the consolidated financial position of</w:t>
      </w:r>
      <w:r w:rsidR="00C57B30" w:rsidRPr="00026EFC">
        <w:rPr>
          <w:rFonts w:ascii="Arial" w:hAnsi="Arial" w:cs="Arial"/>
          <w:sz w:val="20"/>
          <w:szCs w:val="20"/>
        </w:rPr>
        <w:t xml:space="preserve"> Energy Absolute Public Company Limited </w:t>
      </w:r>
      <w:r w:rsidR="00272B60" w:rsidRPr="00026EFC">
        <w:rPr>
          <w:rFonts w:ascii="Arial" w:hAnsi="Arial" w:cs="Arial"/>
          <w:sz w:val="20"/>
          <w:szCs w:val="20"/>
        </w:rPr>
        <w:t xml:space="preserve">(the Company) </w:t>
      </w:r>
      <w:r w:rsidR="00272B60" w:rsidRPr="00026EFC">
        <w:rPr>
          <w:rFonts w:ascii="Arial" w:hAnsi="Arial" w:cs="Arial"/>
          <w:sz w:val="20"/>
          <w:szCs w:val="20"/>
          <w:lang w:val="en-US"/>
        </w:rPr>
        <w:t>and its subsidiaries (the Group)</w:t>
      </w:r>
      <w:r w:rsidRPr="00026EFC">
        <w:rPr>
          <w:rFonts w:ascii="Arial" w:hAnsi="Arial" w:cs="Arial"/>
          <w:sz w:val="20"/>
          <w:szCs w:val="20"/>
          <w:lang w:val="en-US"/>
        </w:rPr>
        <w:t xml:space="preserve"> and the </w:t>
      </w:r>
      <w:r w:rsidR="00272B60" w:rsidRPr="00026EFC">
        <w:rPr>
          <w:rFonts w:ascii="Arial" w:hAnsi="Arial" w:cs="Browallia New"/>
          <w:sz w:val="20"/>
          <w:szCs w:val="20"/>
        </w:rPr>
        <w:t xml:space="preserve">separate financial position of the </w:t>
      </w:r>
      <w:r w:rsidRPr="00026EFC">
        <w:rPr>
          <w:rFonts w:ascii="Arial" w:hAnsi="Arial" w:cs="Arial"/>
          <w:sz w:val="20"/>
          <w:szCs w:val="20"/>
          <w:lang w:val="en-US"/>
        </w:rPr>
        <w:t xml:space="preserve">Company </w:t>
      </w:r>
      <w:r w:rsidRPr="00026EFC">
        <w:rPr>
          <w:rFonts w:ascii="Arial" w:hAnsi="Arial" w:cs="Arial"/>
          <w:sz w:val="20"/>
          <w:szCs w:val="20"/>
        </w:rPr>
        <w:t>as at</w:t>
      </w:r>
      <w:r w:rsidR="00C57B30" w:rsidRPr="00026EFC">
        <w:rPr>
          <w:rFonts w:ascii="Arial" w:hAnsi="Arial" w:cs="Arial"/>
          <w:sz w:val="20"/>
          <w:szCs w:val="20"/>
        </w:rPr>
        <w:t xml:space="preserve"> </w:t>
      </w:r>
      <w:r w:rsidR="00A366A9" w:rsidRPr="00A366A9">
        <w:rPr>
          <w:rFonts w:ascii="Arial" w:hAnsi="Arial" w:cs="Arial"/>
          <w:sz w:val="20"/>
          <w:szCs w:val="20"/>
        </w:rPr>
        <w:t>31</w:t>
      </w:r>
      <w:r w:rsidR="00C57B30" w:rsidRPr="00026EFC">
        <w:rPr>
          <w:rFonts w:ascii="Arial" w:hAnsi="Arial" w:cs="Arial"/>
          <w:sz w:val="20"/>
          <w:szCs w:val="20"/>
        </w:rPr>
        <w:t xml:space="preserve"> December </w:t>
      </w:r>
      <w:r w:rsidR="00A366A9" w:rsidRPr="00A366A9">
        <w:rPr>
          <w:rFonts w:ascii="Arial" w:hAnsi="Arial" w:cs="Arial"/>
          <w:sz w:val="20"/>
          <w:szCs w:val="20"/>
        </w:rPr>
        <w:t>2023</w:t>
      </w:r>
      <w:r w:rsidRPr="00026EFC">
        <w:rPr>
          <w:rFonts w:ascii="Arial" w:hAnsi="Arial" w:cs="Arial"/>
          <w:sz w:val="20"/>
          <w:szCs w:val="20"/>
          <w:lang w:val="en-US"/>
        </w:rPr>
        <w:t>,</w:t>
      </w:r>
      <w:r w:rsidRPr="00026EFC">
        <w:rPr>
          <w:rFonts w:ascii="Arial" w:hAnsi="Arial" w:cs="Arial"/>
          <w:sz w:val="20"/>
          <w:szCs w:val="20"/>
        </w:rPr>
        <w:t xml:space="preserve"> and its consolidated and separate financial </w:t>
      </w:r>
      <w:r w:rsidRPr="00026EFC">
        <w:rPr>
          <w:rFonts w:ascii="Arial" w:hAnsi="Arial" w:cs="Arial"/>
          <w:spacing w:val="-2"/>
          <w:sz w:val="20"/>
          <w:szCs w:val="20"/>
        </w:rPr>
        <w:t xml:space="preserve">performance and its consolidated and separate cash flows for the year then ended in accordance with Thai Financial Reporting Standards (TFRS). </w:t>
      </w:r>
      <w:r w:rsidR="009C0919">
        <w:rPr>
          <w:rFonts w:ascii="Arial" w:hAnsi="Arial" w:cs="Arial"/>
          <w:spacing w:val="-2"/>
          <w:sz w:val="20"/>
          <w:szCs w:val="20"/>
        </w:rPr>
        <w:t xml:space="preserve"> </w:t>
      </w:r>
    </w:p>
    <w:p w14:paraId="52DCCFF7" w14:textId="77777777" w:rsidR="009D6C4B" w:rsidRPr="002757B2" w:rsidRDefault="009D6C4B" w:rsidP="00F67AF3">
      <w:pPr>
        <w:pStyle w:val="Default"/>
        <w:jc w:val="thaiDistribute"/>
        <w:rPr>
          <w:b/>
          <w:bCs/>
          <w:color w:val="000000" w:themeColor="text1"/>
          <w:sz w:val="20"/>
          <w:szCs w:val="20"/>
        </w:rPr>
      </w:pPr>
    </w:p>
    <w:p w14:paraId="7C2308EC" w14:textId="77777777" w:rsidR="009D6C4B" w:rsidRPr="002757B2" w:rsidRDefault="009D6C4B" w:rsidP="00F67AF3">
      <w:pPr>
        <w:pStyle w:val="Default"/>
        <w:jc w:val="thaiDistribute"/>
        <w:rPr>
          <w:rFonts w:eastAsia="Calibri"/>
          <w:b/>
          <w:bCs/>
          <w:color w:val="CF4A02"/>
          <w:sz w:val="20"/>
          <w:szCs w:val="20"/>
        </w:rPr>
      </w:pPr>
      <w:r w:rsidRPr="002757B2">
        <w:rPr>
          <w:rFonts w:eastAsia="Calibri"/>
          <w:b/>
          <w:bCs/>
          <w:color w:val="CF4A02"/>
          <w:sz w:val="20"/>
          <w:szCs w:val="20"/>
        </w:rPr>
        <w:t>What I have audited</w:t>
      </w:r>
    </w:p>
    <w:p w14:paraId="671A4FE6" w14:textId="77777777" w:rsidR="00E3702E" w:rsidRPr="00EE17E9" w:rsidRDefault="00E3702E" w:rsidP="00F67AF3">
      <w:pPr>
        <w:pStyle w:val="Default"/>
        <w:jc w:val="thaiDistribute"/>
        <w:rPr>
          <w:rFonts w:eastAsia="Calibri"/>
          <w:b/>
          <w:bCs/>
          <w:color w:val="000000" w:themeColor="text1"/>
          <w:sz w:val="12"/>
          <w:szCs w:val="12"/>
        </w:rPr>
      </w:pPr>
    </w:p>
    <w:p w14:paraId="777828A8" w14:textId="76D23255" w:rsidR="00D7661B" w:rsidRDefault="00D7661B" w:rsidP="008B018B">
      <w:pPr>
        <w:pStyle w:val="Default"/>
        <w:jc w:val="thaiDistribute"/>
        <w:rPr>
          <w:color w:val="auto"/>
          <w:sz w:val="20"/>
          <w:szCs w:val="20"/>
        </w:rPr>
      </w:pPr>
      <w:r w:rsidRPr="00026EFC">
        <w:rPr>
          <w:color w:val="auto"/>
          <w:sz w:val="20"/>
          <w:szCs w:val="20"/>
        </w:rPr>
        <w:t xml:space="preserve">The consolidated </w:t>
      </w:r>
      <w:r w:rsidR="001F0191" w:rsidRPr="00026EFC">
        <w:rPr>
          <w:color w:val="auto"/>
          <w:sz w:val="20"/>
          <w:szCs w:val="20"/>
        </w:rPr>
        <w:t xml:space="preserve">financial statements and </w:t>
      </w:r>
      <w:r w:rsidR="00E304A2" w:rsidRPr="00026EFC">
        <w:rPr>
          <w:rFonts w:cs="Browallia New"/>
          <w:color w:val="auto"/>
          <w:sz w:val="20"/>
          <w:szCs w:val="20"/>
        </w:rPr>
        <w:t xml:space="preserve">the </w:t>
      </w:r>
      <w:r w:rsidRPr="00026EFC">
        <w:rPr>
          <w:color w:val="auto"/>
          <w:sz w:val="20"/>
          <w:szCs w:val="20"/>
        </w:rPr>
        <w:t>separate financial statements comprise:</w:t>
      </w:r>
    </w:p>
    <w:p w14:paraId="78E1D971" w14:textId="77777777" w:rsidR="00C15B62" w:rsidRPr="00C15B62" w:rsidRDefault="00C15B62" w:rsidP="008B018B">
      <w:pPr>
        <w:pStyle w:val="Default"/>
        <w:jc w:val="thaiDistribute"/>
        <w:rPr>
          <w:color w:val="auto"/>
          <w:sz w:val="12"/>
          <w:szCs w:val="12"/>
        </w:rPr>
      </w:pPr>
    </w:p>
    <w:p w14:paraId="57BCA9C5" w14:textId="3EB8812D" w:rsidR="00D7661B" w:rsidRPr="00026EFC" w:rsidRDefault="00D7661B" w:rsidP="00644EF6">
      <w:pPr>
        <w:pStyle w:val="Default"/>
        <w:numPr>
          <w:ilvl w:val="0"/>
          <w:numId w:val="5"/>
        </w:numPr>
        <w:ind w:left="540"/>
        <w:jc w:val="thaiDistribute"/>
        <w:rPr>
          <w:color w:val="auto"/>
          <w:sz w:val="20"/>
          <w:szCs w:val="20"/>
        </w:rPr>
      </w:pPr>
      <w:r w:rsidRPr="00026EFC">
        <w:rPr>
          <w:color w:val="auto"/>
          <w:sz w:val="20"/>
          <w:szCs w:val="20"/>
        </w:rPr>
        <w:t>the consolidated and separate statements of financial position as at</w:t>
      </w:r>
      <w:r w:rsidR="00C57B30" w:rsidRPr="00026EFC">
        <w:rPr>
          <w:color w:val="auto"/>
          <w:sz w:val="20"/>
          <w:szCs w:val="20"/>
        </w:rPr>
        <w:t xml:space="preserve"> </w:t>
      </w:r>
      <w:r w:rsidR="00A366A9" w:rsidRPr="00A366A9">
        <w:rPr>
          <w:color w:val="auto"/>
          <w:sz w:val="20"/>
          <w:szCs w:val="20"/>
        </w:rPr>
        <w:t>31</w:t>
      </w:r>
      <w:r w:rsidR="00C57B30" w:rsidRPr="00026EFC">
        <w:rPr>
          <w:color w:val="auto"/>
          <w:sz w:val="20"/>
          <w:szCs w:val="20"/>
        </w:rPr>
        <w:t xml:space="preserve"> December </w:t>
      </w:r>
      <w:r w:rsidR="00A366A9" w:rsidRPr="00A366A9">
        <w:rPr>
          <w:color w:val="auto"/>
          <w:sz w:val="20"/>
          <w:szCs w:val="20"/>
        </w:rPr>
        <w:t>2023</w:t>
      </w:r>
      <w:r w:rsidR="001914F3" w:rsidRPr="00026EFC">
        <w:rPr>
          <w:i/>
          <w:iCs/>
          <w:color w:val="auto"/>
          <w:sz w:val="20"/>
          <w:szCs w:val="20"/>
          <w:lang w:val="en-US"/>
        </w:rPr>
        <w:t>;</w:t>
      </w:r>
    </w:p>
    <w:p w14:paraId="7BC9C467" w14:textId="77777777" w:rsidR="00D7661B" w:rsidRPr="00026EFC" w:rsidRDefault="00D7661B" w:rsidP="00644EF6">
      <w:pPr>
        <w:pStyle w:val="Default"/>
        <w:numPr>
          <w:ilvl w:val="0"/>
          <w:numId w:val="5"/>
        </w:numPr>
        <w:ind w:left="540"/>
        <w:jc w:val="thaiDistribute"/>
        <w:rPr>
          <w:color w:val="auto"/>
          <w:sz w:val="20"/>
          <w:szCs w:val="20"/>
        </w:rPr>
      </w:pPr>
      <w:r w:rsidRPr="00026EFC">
        <w:rPr>
          <w:color w:val="auto"/>
          <w:sz w:val="20"/>
          <w:szCs w:val="20"/>
        </w:rPr>
        <w:t>the consolidated and separate statements of comprehensive income</w:t>
      </w:r>
      <w:r w:rsidR="001914F3" w:rsidRPr="00026EFC">
        <w:rPr>
          <w:color w:val="auto"/>
          <w:sz w:val="20"/>
          <w:szCs w:val="20"/>
        </w:rPr>
        <w:t xml:space="preserve"> for the year then ended;</w:t>
      </w:r>
    </w:p>
    <w:p w14:paraId="06809B75" w14:textId="77777777" w:rsidR="00D7661B" w:rsidRPr="00026EFC" w:rsidRDefault="00D7661B" w:rsidP="00644EF6">
      <w:pPr>
        <w:pStyle w:val="Default"/>
        <w:numPr>
          <w:ilvl w:val="0"/>
          <w:numId w:val="5"/>
        </w:numPr>
        <w:ind w:left="540"/>
        <w:jc w:val="thaiDistribute"/>
        <w:rPr>
          <w:color w:val="auto"/>
          <w:sz w:val="20"/>
          <w:szCs w:val="20"/>
        </w:rPr>
      </w:pPr>
      <w:r w:rsidRPr="00026EFC">
        <w:rPr>
          <w:color w:val="auto"/>
          <w:sz w:val="20"/>
          <w:szCs w:val="20"/>
        </w:rPr>
        <w:t xml:space="preserve">the consolidated and separate </w:t>
      </w:r>
      <w:r w:rsidR="008D35FC" w:rsidRPr="00026EFC">
        <w:rPr>
          <w:color w:val="auto"/>
          <w:sz w:val="20"/>
          <w:szCs w:val="20"/>
        </w:rPr>
        <w:t xml:space="preserve">statements </w:t>
      </w:r>
      <w:r w:rsidRPr="00026EFC">
        <w:rPr>
          <w:color w:val="auto"/>
          <w:sz w:val="20"/>
          <w:szCs w:val="20"/>
        </w:rPr>
        <w:t xml:space="preserve">of changes in equity </w:t>
      </w:r>
      <w:r w:rsidR="001914F3" w:rsidRPr="00026EFC">
        <w:rPr>
          <w:color w:val="auto"/>
          <w:sz w:val="20"/>
          <w:szCs w:val="20"/>
        </w:rPr>
        <w:t>for the year then ended;</w:t>
      </w:r>
    </w:p>
    <w:p w14:paraId="0ED88AAF" w14:textId="77777777" w:rsidR="00D7661B" w:rsidRPr="00026EFC" w:rsidRDefault="00D7661B" w:rsidP="00644EF6">
      <w:pPr>
        <w:pStyle w:val="Default"/>
        <w:numPr>
          <w:ilvl w:val="0"/>
          <w:numId w:val="5"/>
        </w:numPr>
        <w:ind w:left="540"/>
        <w:jc w:val="thaiDistribute"/>
        <w:rPr>
          <w:color w:val="auto"/>
          <w:sz w:val="20"/>
          <w:szCs w:val="20"/>
        </w:rPr>
      </w:pPr>
      <w:r w:rsidRPr="00026EFC">
        <w:rPr>
          <w:color w:val="auto"/>
          <w:sz w:val="20"/>
          <w:szCs w:val="20"/>
        </w:rPr>
        <w:t>the consolidated and separate statement</w:t>
      </w:r>
      <w:r w:rsidR="008D35FC" w:rsidRPr="00026EFC">
        <w:rPr>
          <w:color w:val="auto"/>
          <w:sz w:val="20"/>
          <w:szCs w:val="20"/>
        </w:rPr>
        <w:t>s</w:t>
      </w:r>
      <w:r w:rsidRPr="00026EFC">
        <w:rPr>
          <w:color w:val="auto"/>
          <w:sz w:val="20"/>
          <w:szCs w:val="20"/>
        </w:rPr>
        <w:t xml:space="preserve"> of cash flows</w:t>
      </w:r>
      <w:r w:rsidR="001914F3" w:rsidRPr="00026EFC">
        <w:rPr>
          <w:color w:val="auto"/>
          <w:sz w:val="20"/>
          <w:szCs w:val="20"/>
        </w:rPr>
        <w:t xml:space="preserve"> for the year then end</w:t>
      </w:r>
      <w:r w:rsidR="00EF26F0" w:rsidRPr="00026EFC">
        <w:rPr>
          <w:color w:val="auto"/>
          <w:sz w:val="20"/>
          <w:szCs w:val="20"/>
        </w:rPr>
        <w:t>ed</w:t>
      </w:r>
      <w:r w:rsidR="001914F3" w:rsidRPr="00026EFC">
        <w:rPr>
          <w:color w:val="auto"/>
          <w:sz w:val="20"/>
          <w:szCs w:val="20"/>
        </w:rPr>
        <w:t>;</w:t>
      </w:r>
      <w:r w:rsidR="00E23C59" w:rsidRPr="00026EFC">
        <w:rPr>
          <w:color w:val="auto"/>
          <w:sz w:val="20"/>
          <w:szCs w:val="20"/>
        </w:rPr>
        <w:t xml:space="preserve"> and</w:t>
      </w:r>
    </w:p>
    <w:p w14:paraId="244D1160" w14:textId="77777777" w:rsidR="00D7661B" w:rsidRPr="002757B2" w:rsidRDefault="00D7661B" w:rsidP="00644EF6">
      <w:pPr>
        <w:pStyle w:val="Default"/>
        <w:numPr>
          <w:ilvl w:val="0"/>
          <w:numId w:val="5"/>
        </w:numPr>
        <w:ind w:left="540"/>
        <w:jc w:val="thaiDistribute"/>
        <w:rPr>
          <w:color w:val="000000" w:themeColor="text1"/>
          <w:sz w:val="20"/>
          <w:szCs w:val="20"/>
        </w:rPr>
      </w:pPr>
      <w:r w:rsidRPr="002757B2">
        <w:rPr>
          <w:color w:val="000000" w:themeColor="text1"/>
          <w:spacing w:val="-4"/>
          <w:sz w:val="20"/>
          <w:szCs w:val="20"/>
        </w:rPr>
        <w:t>the</w:t>
      </w:r>
      <w:r w:rsidR="008D35FC" w:rsidRPr="002757B2">
        <w:rPr>
          <w:color w:val="000000" w:themeColor="text1"/>
          <w:spacing w:val="-4"/>
          <w:sz w:val="20"/>
          <w:szCs w:val="20"/>
        </w:rPr>
        <w:t xml:space="preserve"> </w:t>
      </w:r>
      <w:r w:rsidRPr="002757B2">
        <w:rPr>
          <w:color w:val="000000" w:themeColor="text1"/>
          <w:spacing w:val="-4"/>
          <w:sz w:val="20"/>
          <w:szCs w:val="20"/>
        </w:rPr>
        <w:t>notes to the consolidated and separate financial statements</w:t>
      </w:r>
      <w:r w:rsidR="008D35FC" w:rsidRPr="002757B2">
        <w:rPr>
          <w:color w:val="000000" w:themeColor="text1"/>
          <w:spacing w:val="-4"/>
          <w:sz w:val="20"/>
          <w:szCs w:val="20"/>
        </w:rPr>
        <w:t>,</w:t>
      </w:r>
      <w:r w:rsidRPr="002757B2">
        <w:rPr>
          <w:color w:val="000000" w:themeColor="text1"/>
          <w:spacing w:val="-4"/>
          <w:sz w:val="20"/>
          <w:szCs w:val="20"/>
        </w:rPr>
        <w:t xml:space="preserve"> which include significant</w:t>
      </w:r>
      <w:r w:rsidRPr="002757B2">
        <w:rPr>
          <w:color w:val="000000" w:themeColor="text1"/>
          <w:sz w:val="20"/>
          <w:szCs w:val="20"/>
        </w:rPr>
        <w:t xml:space="preserve"> accounting policies</w:t>
      </w:r>
      <w:r w:rsidR="00272B60" w:rsidRPr="002757B2">
        <w:rPr>
          <w:color w:val="000000" w:themeColor="text1"/>
          <w:sz w:val="20"/>
          <w:szCs w:val="20"/>
        </w:rPr>
        <w:t xml:space="preserve"> and other explanatory information</w:t>
      </w:r>
      <w:r w:rsidRPr="002757B2">
        <w:rPr>
          <w:color w:val="000000" w:themeColor="text1"/>
          <w:sz w:val="20"/>
          <w:szCs w:val="20"/>
        </w:rPr>
        <w:t xml:space="preserve">. </w:t>
      </w:r>
    </w:p>
    <w:p w14:paraId="3BA05363" w14:textId="77777777" w:rsidR="001F0191" w:rsidRPr="002757B2" w:rsidRDefault="001F0191" w:rsidP="001F0191">
      <w:pPr>
        <w:pStyle w:val="Default"/>
        <w:ind w:left="720"/>
        <w:jc w:val="thaiDistribute"/>
        <w:rPr>
          <w:color w:val="000000" w:themeColor="text1"/>
          <w:sz w:val="20"/>
          <w:szCs w:val="20"/>
        </w:rPr>
      </w:pPr>
    </w:p>
    <w:p w14:paraId="10ABC9B2" w14:textId="77777777" w:rsidR="00790517" w:rsidRPr="002757B2" w:rsidRDefault="00790517" w:rsidP="00F67AF3">
      <w:pPr>
        <w:pStyle w:val="Default"/>
        <w:jc w:val="thaiDistribute"/>
        <w:rPr>
          <w:rFonts w:eastAsia="Calibri"/>
          <w:b/>
          <w:bCs/>
          <w:color w:val="CF4A02"/>
          <w:sz w:val="20"/>
          <w:szCs w:val="20"/>
        </w:rPr>
      </w:pPr>
      <w:r w:rsidRPr="002757B2">
        <w:rPr>
          <w:rFonts w:eastAsia="Calibri"/>
          <w:b/>
          <w:bCs/>
          <w:color w:val="CF4A02"/>
          <w:sz w:val="20"/>
          <w:szCs w:val="20"/>
        </w:rPr>
        <w:t xml:space="preserve">Basis for </w:t>
      </w:r>
      <w:r w:rsidR="00E07F94" w:rsidRPr="002757B2">
        <w:rPr>
          <w:rFonts w:eastAsia="Calibri"/>
          <w:b/>
          <w:bCs/>
          <w:color w:val="CF4A02"/>
          <w:sz w:val="20"/>
          <w:szCs w:val="20"/>
        </w:rPr>
        <w:t>o</w:t>
      </w:r>
      <w:r w:rsidRPr="002757B2">
        <w:rPr>
          <w:rFonts w:eastAsia="Calibri"/>
          <w:b/>
          <w:bCs/>
          <w:color w:val="CF4A02"/>
          <w:sz w:val="20"/>
          <w:szCs w:val="20"/>
        </w:rPr>
        <w:t xml:space="preserve">pinion </w:t>
      </w:r>
    </w:p>
    <w:p w14:paraId="29656524" w14:textId="77777777" w:rsidR="00E3702E" w:rsidRPr="00EE17E9" w:rsidRDefault="00E3702E" w:rsidP="00F67AF3">
      <w:pPr>
        <w:pStyle w:val="Default"/>
        <w:jc w:val="thaiDistribute"/>
        <w:rPr>
          <w:rFonts w:eastAsia="Calibri"/>
          <w:b/>
          <w:bCs/>
          <w:color w:val="000000" w:themeColor="text1"/>
          <w:sz w:val="12"/>
          <w:szCs w:val="12"/>
        </w:rPr>
      </w:pPr>
    </w:p>
    <w:p w14:paraId="2D0C7F7A" w14:textId="22E16FE1" w:rsidR="000670FA" w:rsidRDefault="000670FA" w:rsidP="008B018B">
      <w:pPr>
        <w:pStyle w:val="Default"/>
        <w:jc w:val="thaiDistribute"/>
        <w:rPr>
          <w:rFonts w:cstheme="minorBidi"/>
          <w:color w:val="000000" w:themeColor="text1"/>
          <w:sz w:val="20"/>
          <w:szCs w:val="20"/>
        </w:rPr>
      </w:pPr>
      <w:r w:rsidRPr="000670FA">
        <w:rPr>
          <w:rFonts w:cstheme="minorBidi"/>
          <w:color w:val="000000" w:themeColor="text1"/>
          <w:sz w:val="20"/>
          <w:szCs w:val="20"/>
        </w:rPr>
        <w:t>I conducted my audit in accordance with Thai Standards on Auditing (TSAs). My responsibilities under those standards are further described in the Auditor’s responsibilities for the audit of the consolidated and separate financial statements section of my report. I am independent of the Group and the Company in accordance with the Code of Ethics for Professional Accountants including Independence Standards issued by the Federation of Accounting Professions (TFAC Code) that are relevant to my audit of the consolidated and separate financial statements, and I have fulfilled my other ethical responsibilities in accordance with the TFAC Code. I believe that the audit evidence I have obtained is sufficient and appropriate to provide a basis for my opinion.</w:t>
      </w:r>
    </w:p>
    <w:p w14:paraId="5BF88A23" w14:textId="77777777" w:rsidR="00FA45D7" w:rsidRDefault="00FA45D7" w:rsidP="008B018B">
      <w:pPr>
        <w:pStyle w:val="Default"/>
        <w:jc w:val="thaiDistribute"/>
        <w:rPr>
          <w:rFonts w:cstheme="minorBidi"/>
          <w:color w:val="000000" w:themeColor="text1"/>
          <w:sz w:val="20"/>
          <w:szCs w:val="20"/>
        </w:rPr>
      </w:pPr>
    </w:p>
    <w:p w14:paraId="68D8554D" w14:textId="77777777" w:rsidR="00FA45D7" w:rsidRPr="002757B2" w:rsidRDefault="00FA45D7" w:rsidP="00FA45D7">
      <w:pPr>
        <w:pStyle w:val="Default"/>
        <w:jc w:val="thaiDistribute"/>
        <w:rPr>
          <w:rFonts w:eastAsia="Calibri"/>
          <w:b/>
          <w:bCs/>
          <w:color w:val="CF4A02"/>
          <w:sz w:val="20"/>
          <w:szCs w:val="20"/>
        </w:rPr>
      </w:pPr>
      <w:r w:rsidRPr="002757B2">
        <w:rPr>
          <w:rFonts w:eastAsia="Calibri"/>
          <w:b/>
          <w:bCs/>
          <w:color w:val="CF4A02"/>
          <w:sz w:val="20"/>
          <w:szCs w:val="20"/>
        </w:rPr>
        <w:t>Key audit matters</w:t>
      </w:r>
    </w:p>
    <w:p w14:paraId="4E4D5D17" w14:textId="77777777" w:rsidR="00FA45D7" w:rsidRPr="00EE17E9" w:rsidRDefault="00FA45D7" w:rsidP="00FA45D7">
      <w:pPr>
        <w:pStyle w:val="Default"/>
        <w:jc w:val="thaiDistribute"/>
        <w:rPr>
          <w:rFonts w:eastAsia="Calibri"/>
          <w:b/>
          <w:bCs/>
          <w:color w:val="000000" w:themeColor="text1"/>
          <w:sz w:val="12"/>
          <w:szCs w:val="12"/>
        </w:rPr>
      </w:pPr>
    </w:p>
    <w:p w14:paraId="08F90756" w14:textId="77777777" w:rsidR="00FA45D7" w:rsidRPr="002757B2" w:rsidRDefault="00FA45D7" w:rsidP="00FA45D7">
      <w:pPr>
        <w:pStyle w:val="Default"/>
        <w:jc w:val="thaiDistribute"/>
        <w:rPr>
          <w:color w:val="000000" w:themeColor="text1"/>
          <w:sz w:val="20"/>
          <w:szCs w:val="20"/>
        </w:rPr>
      </w:pPr>
      <w:r w:rsidRPr="002757B2">
        <w:rPr>
          <w:color w:val="000000" w:themeColor="text1"/>
          <w:sz w:val="20"/>
          <w:szCs w:val="20"/>
        </w:rPr>
        <w:t>Key audit matters are those matters that, in my professional judgement, were of most significance in my audit of the consolidated and separate financial statements of the current period.</w:t>
      </w:r>
      <w:r>
        <w:rPr>
          <w:color w:val="000000" w:themeColor="text1"/>
          <w:sz w:val="20"/>
          <w:szCs w:val="20"/>
        </w:rPr>
        <w:t xml:space="preserve"> </w:t>
      </w:r>
      <w:r w:rsidRPr="002757B2">
        <w:rPr>
          <w:color w:val="000000" w:themeColor="text1"/>
          <w:sz w:val="20"/>
          <w:szCs w:val="20"/>
        </w:rPr>
        <w:t xml:space="preserve">These matters were addressed in the context of my audit of the consolidated and separate financial statements as a whole, and in forming my opinion thereon, and I do not provide a separate opinion on these matters. </w:t>
      </w:r>
    </w:p>
    <w:p w14:paraId="5F77955B" w14:textId="77777777" w:rsidR="008A4E40" w:rsidRPr="002757B2" w:rsidRDefault="008A4E40" w:rsidP="008B018B">
      <w:pPr>
        <w:pStyle w:val="Default"/>
        <w:jc w:val="thaiDistribute"/>
        <w:rPr>
          <w:rFonts w:cstheme="minorBidi"/>
          <w:color w:val="000000" w:themeColor="text1"/>
          <w:sz w:val="20"/>
          <w:szCs w:val="20"/>
        </w:rPr>
      </w:pPr>
    </w:p>
    <w:p w14:paraId="09A9C012" w14:textId="77777777" w:rsidR="008A4E40" w:rsidRPr="002757B2" w:rsidRDefault="008A4E40" w:rsidP="00F67AF3">
      <w:pPr>
        <w:pStyle w:val="Default"/>
        <w:jc w:val="thaiDistribute"/>
        <w:rPr>
          <w:rFonts w:cs="Angsana New"/>
          <w:b/>
          <w:bCs/>
          <w:color w:val="000000" w:themeColor="text1"/>
          <w:sz w:val="20"/>
          <w:szCs w:val="20"/>
          <w:cs/>
        </w:rPr>
        <w:sectPr w:rsidR="008A4E40" w:rsidRPr="002757B2" w:rsidSect="00204FB3">
          <w:headerReference w:type="even" r:id="rId8"/>
          <w:headerReference w:type="default" r:id="rId9"/>
          <w:footerReference w:type="even" r:id="rId10"/>
          <w:footerReference w:type="default" r:id="rId11"/>
          <w:headerReference w:type="first" r:id="rId12"/>
          <w:footerReference w:type="first" r:id="rId13"/>
          <w:pgSz w:w="11909" w:h="16834" w:code="9"/>
          <w:pgMar w:top="3139" w:right="720" w:bottom="1584" w:left="1987" w:header="706" w:footer="706" w:gutter="0"/>
          <w:pgNumType w:start="1"/>
          <w:cols w:space="708"/>
          <w:docGrid w:linePitch="360"/>
        </w:sectPr>
      </w:pPr>
    </w:p>
    <w:tbl>
      <w:tblPr>
        <w:tblStyle w:val="TableGrid"/>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21"/>
      </w:tblGrid>
      <w:tr w:rsidR="00082DAD" w:rsidRPr="002757B2" w14:paraId="5CE70F60" w14:textId="77777777" w:rsidTr="00644EF6">
        <w:trPr>
          <w:trHeight w:val="374"/>
        </w:trPr>
        <w:tc>
          <w:tcPr>
            <w:tcW w:w="4395" w:type="dxa"/>
            <w:shd w:val="clear" w:color="auto" w:fill="FFA543"/>
            <w:vAlign w:val="center"/>
          </w:tcPr>
          <w:p w14:paraId="1A8C43CF" w14:textId="77777777" w:rsidR="00082DAD" w:rsidRPr="00A92691" w:rsidRDefault="00082DAD" w:rsidP="00B5198A">
            <w:pPr>
              <w:pStyle w:val="Default"/>
              <w:ind w:right="244"/>
              <w:jc w:val="center"/>
              <w:rPr>
                <w:b/>
                <w:bCs/>
                <w:color w:val="FFFFFF" w:themeColor="background1"/>
                <w:sz w:val="20"/>
                <w:szCs w:val="20"/>
              </w:rPr>
            </w:pPr>
            <w:r w:rsidRPr="00A92691">
              <w:rPr>
                <w:b/>
                <w:bCs/>
                <w:color w:val="FFFFFF" w:themeColor="background1"/>
                <w:sz w:val="20"/>
                <w:szCs w:val="20"/>
              </w:rPr>
              <w:lastRenderedPageBreak/>
              <w:t>Key audit matter</w:t>
            </w:r>
          </w:p>
        </w:tc>
        <w:tc>
          <w:tcPr>
            <w:tcW w:w="4821" w:type="dxa"/>
            <w:shd w:val="clear" w:color="auto" w:fill="FFA543"/>
            <w:vAlign w:val="center"/>
          </w:tcPr>
          <w:p w14:paraId="12122376" w14:textId="77777777" w:rsidR="00082DAD" w:rsidRPr="00A92691" w:rsidRDefault="00082DAD" w:rsidP="00B5198A">
            <w:pPr>
              <w:pStyle w:val="Default"/>
              <w:jc w:val="center"/>
              <w:rPr>
                <w:b/>
                <w:bCs/>
                <w:color w:val="FFFFFF" w:themeColor="background1"/>
                <w:sz w:val="20"/>
                <w:szCs w:val="20"/>
              </w:rPr>
            </w:pPr>
            <w:r w:rsidRPr="00A92691">
              <w:rPr>
                <w:b/>
                <w:bCs/>
                <w:color w:val="FFFFFF" w:themeColor="background1"/>
                <w:sz w:val="20"/>
                <w:szCs w:val="20"/>
              </w:rPr>
              <w:t>How my audit addressed the key audit matter</w:t>
            </w:r>
          </w:p>
        </w:tc>
      </w:tr>
      <w:tr w:rsidR="00B5198A" w:rsidRPr="00B5198A" w14:paraId="6B7A18BB" w14:textId="77777777" w:rsidTr="00644EF6">
        <w:tc>
          <w:tcPr>
            <w:tcW w:w="4395" w:type="dxa"/>
            <w:shd w:val="clear" w:color="auto" w:fill="auto"/>
            <w:vAlign w:val="center"/>
          </w:tcPr>
          <w:p w14:paraId="215BCB77" w14:textId="77777777" w:rsidR="00B5198A" w:rsidRPr="00B5198A" w:rsidRDefault="00B5198A" w:rsidP="00B5198A">
            <w:pPr>
              <w:pStyle w:val="Default"/>
              <w:ind w:right="244"/>
              <w:jc w:val="center"/>
              <w:rPr>
                <w:b/>
                <w:bCs/>
                <w:color w:val="FFFFFF" w:themeColor="background1"/>
                <w:sz w:val="12"/>
                <w:szCs w:val="12"/>
              </w:rPr>
            </w:pPr>
          </w:p>
        </w:tc>
        <w:tc>
          <w:tcPr>
            <w:tcW w:w="4821" w:type="dxa"/>
            <w:shd w:val="clear" w:color="auto" w:fill="FAFAFA"/>
            <w:vAlign w:val="center"/>
          </w:tcPr>
          <w:p w14:paraId="59995C63" w14:textId="77777777" w:rsidR="00B5198A" w:rsidRPr="00B5198A" w:rsidRDefault="00B5198A" w:rsidP="00B5198A">
            <w:pPr>
              <w:pStyle w:val="Default"/>
              <w:jc w:val="center"/>
              <w:rPr>
                <w:b/>
                <w:bCs/>
                <w:color w:val="FFFFFF" w:themeColor="background1"/>
                <w:sz w:val="12"/>
                <w:szCs w:val="12"/>
              </w:rPr>
            </w:pPr>
          </w:p>
        </w:tc>
      </w:tr>
      <w:tr w:rsidR="00B5198A" w:rsidRPr="00B5198A" w14:paraId="28C293C2" w14:textId="77777777" w:rsidTr="00644EF6">
        <w:tc>
          <w:tcPr>
            <w:tcW w:w="4395" w:type="dxa"/>
            <w:shd w:val="clear" w:color="auto" w:fill="auto"/>
            <w:vAlign w:val="center"/>
          </w:tcPr>
          <w:p w14:paraId="60DCBE2E" w14:textId="022A35B1" w:rsidR="00B5198A" w:rsidRPr="009862D7" w:rsidRDefault="00B5198A" w:rsidP="00B5198A">
            <w:pPr>
              <w:tabs>
                <w:tab w:val="left" w:pos="2892"/>
              </w:tabs>
              <w:ind w:right="72"/>
              <w:jc w:val="thaiDistribute"/>
              <w:rPr>
                <w:b/>
                <w:bCs/>
                <w:i/>
                <w:iCs/>
                <w:color w:val="FFFFFF" w:themeColor="background1"/>
                <w:sz w:val="12"/>
                <w:szCs w:val="12"/>
              </w:rPr>
            </w:pPr>
            <w:r w:rsidRPr="009862D7">
              <w:rPr>
                <w:rFonts w:ascii="Arial" w:eastAsia="Arial" w:hAnsi="Arial" w:cs="Arial"/>
                <w:b/>
                <w:i/>
                <w:iCs/>
                <w:sz w:val="20"/>
                <w:szCs w:val="20"/>
                <w:lang w:bidi="ar-SA"/>
              </w:rPr>
              <w:t>Impairment assessment of goodwill</w:t>
            </w:r>
          </w:p>
        </w:tc>
        <w:tc>
          <w:tcPr>
            <w:tcW w:w="4821" w:type="dxa"/>
            <w:shd w:val="clear" w:color="auto" w:fill="FAFAFA"/>
            <w:vAlign w:val="center"/>
          </w:tcPr>
          <w:p w14:paraId="0F78CFA5" w14:textId="77777777" w:rsidR="00B5198A" w:rsidRPr="00B5198A" w:rsidRDefault="00B5198A" w:rsidP="00B5198A">
            <w:pPr>
              <w:pStyle w:val="Default"/>
              <w:jc w:val="center"/>
              <w:rPr>
                <w:b/>
                <w:bCs/>
                <w:color w:val="FFFFFF" w:themeColor="background1"/>
                <w:sz w:val="12"/>
                <w:szCs w:val="12"/>
              </w:rPr>
            </w:pPr>
          </w:p>
        </w:tc>
      </w:tr>
      <w:tr w:rsidR="00B5198A" w:rsidRPr="00B5198A" w14:paraId="6F90EC56" w14:textId="77777777" w:rsidTr="00644EF6">
        <w:tc>
          <w:tcPr>
            <w:tcW w:w="4395" w:type="dxa"/>
            <w:shd w:val="clear" w:color="auto" w:fill="auto"/>
            <w:vAlign w:val="center"/>
          </w:tcPr>
          <w:p w14:paraId="3E1E036C" w14:textId="77777777" w:rsidR="00B5198A" w:rsidRPr="00B5198A" w:rsidRDefault="00B5198A" w:rsidP="00B5198A">
            <w:pPr>
              <w:pStyle w:val="Default"/>
              <w:ind w:right="244"/>
              <w:jc w:val="center"/>
              <w:rPr>
                <w:b/>
                <w:bCs/>
                <w:color w:val="FFFFFF" w:themeColor="background1"/>
                <w:sz w:val="12"/>
                <w:szCs w:val="12"/>
              </w:rPr>
            </w:pPr>
          </w:p>
        </w:tc>
        <w:tc>
          <w:tcPr>
            <w:tcW w:w="4821" w:type="dxa"/>
            <w:shd w:val="clear" w:color="auto" w:fill="FAFAFA"/>
            <w:vAlign w:val="center"/>
          </w:tcPr>
          <w:p w14:paraId="207625B2" w14:textId="77777777" w:rsidR="00B5198A" w:rsidRPr="00B5198A" w:rsidRDefault="00B5198A" w:rsidP="00B5198A">
            <w:pPr>
              <w:pStyle w:val="Default"/>
              <w:jc w:val="center"/>
              <w:rPr>
                <w:b/>
                <w:bCs/>
                <w:color w:val="FFFFFF" w:themeColor="background1"/>
                <w:sz w:val="12"/>
                <w:szCs w:val="12"/>
              </w:rPr>
            </w:pPr>
          </w:p>
        </w:tc>
      </w:tr>
      <w:tr w:rsidR="00082DAD" w:rsidRPr="002757B2" w14:paraId="490E3B20" w14:textId="77777777" w:rsidTr="00644EF6">
        <w:tc>
          <w:tcPr>
            <w:tcW w:w="4395" w:type="dxa"/>
            <w:shd w:val="clear" w:color="auto" w:fill="auto"/>
          </w:tcPr>
          <w:p w14:paraId="19A28378" w14:textId="1BE7DC79" w:rsidR="00082DAD" w:rsidRPr="00A1411C" w:rsidRDefault="00082DAD" w:rsidP="00B5198A">
            <w:pPr>
              <w:jc w:val="thaiDistribute"/>
              <w:rPr>
                <w:rFonts w:ascii="Arial" w:hAnsi="Arial" w:cs="Arial"/>
                <w:spacing w:val="-6"/>
                <w:sz w:val="20"/>
                <w:szCs w:val="20"/>
              </w:rPr>
            </w:pPr>
            <w:r w:rsidRPr="00A1411C">
              <w:rPr>
                <w:rFonts w:ascii="Arial" w:hAnsi="Arial" w:cs="Arial"/>
                <w:sz w:val="20"/>
                <w:szCs w:val="20"/>
              </w:rPr>
              <w:t xml:space="preserve">Refer to Note </w:t>
            </w:r>
            <w:r w:rsidR="00A366A9" w:rsidRPr="00A366A9">
              <w:rPr>
                <w:rFonts w:ascii="Arial" w:hAnsi="Arial" w:cs="Browallia New"/>
                <w:sz w:val="20"/>
                <w:szCs w:val="25"/>
              </w:rPr>
              <w:t>23</w:t>
            </w:r>
            <w:r w:rsidRPr="00A1411C">
              <w:rPr>
                <w:rFonts w:ascii="Arial" w:hAnsi="Arial" w:cs="Arial"/>
                <w:sz w:val="20"/>
                <w:szCs w:val="20"/>
              </w:rPr>
              <w:t xml:space="preserve"> Goodwill, as at </w:t>
            </w:r>
            <w:r w:rsidR="00A366A9" w:rsidRPr="00A366A9">
              <w:rPr>
                <w:rFonts w:ascii="Arial" w:hAnsi="Arial" w:cs="Arial"/>
                <w:sz w:val="20"/>
                <w:szCs w:val="20"/>
              </w:rPr>
              <w:t>31</w:t>
            </w:r>
            <w:r w:rsidRPr="00A1411C">
              <w:rPr>
                <w:rFonts w:ascii="Arial" w:hAnsi="Arial" w:cs="Arial"/>
                <w:sz w:val="20"/>
                <w:szCs w:val="20"/>
              </w:rPr>
              <w:t xml:space="preserve"> December </w:t>
            </w:r>
            <w:r w:rsidR="00A366A9" w:rsidRPr="00A366A9">
              <w:rPr>
                <w:rFonts w:ascii="Arial" w:hAnsi="Arial" w:cs="Arial"/>
                <w:sz w:val="20"/>
                <w:szCs w:val="20"/>
              </w:rPr>
              <w:t>2023</w:t>
            </w:r>
            <w:r w:rsidRPr="00A1411C">
              <w:rPr>
                <w:rFonts w:ascii="Arial" w:hAnsi="Arial" w:cs="Arial"/>
                <w:sz w:val="20"/>
                <w:szCs w:val="20"/>
              </w:rPr>
              <w:t xml:space="preserve">, the Group </w:t>
            </w:r>
            <w:r w:rsidR="00A94FA2" w:rsidRPr="00A1411C">
              <w:rPr>
                <w:rFonts w:ascii="Arial" w:hAnsi="Arial" w:cs="Arial"/>
                <w:sz w:val="20"/>
                <w:szCs w:val="20"/>
              </w:rPr>
              <w:t>recognised</w:t>
            </w:r>
            <w:r w:rsidRPr="00A1411C">
              <w:rPr>
                <w:rFonts w:ascii="Arial" w:hAnsi="Arial" w:cs="Arial"/>
                <w:sz w:val="20"/>
                <w:szCs w:val="20"/>
              </w:rPr>
              <w:t xml:space="preserve"> goodwill of Baht </w:t>
            </w:r>
            <w:r w:rsidR="00026EFC" w:rsidRPr="00A1411C">
              <w:rPr>
                <w:rFonts w:ascii="Arial" w:hAnsi="Arial" w:cs="Arial"/>
                <w:sz w:val="20"/>
                <w:szCs w:val="20"/>
              </w:rPr>
              <w:br/>
            </w:r>
            <w:r w:rsidR="00A366A9" w:rsidRPr="00A366A9">
              <w:rPr>
                <w:rFonts w:ascii="Arial" w:hAnsi="Arial" w:cs="Arial"/>
                <w:sz w:val="20"/>
                <w:szCs w:val="20"/>
              </w:rPr>
              <w:t>1</w:t>
            </w:r>
            <w:r w:rsidR="00CA1C5C">
              <w:rPr>
                <w:rFonts w:ascii="Arial" w:hAnsi="Arial" w:cs="Arial"/>
                <w:sz w:val="20"/>
                <w:szCs w:val="20"/>
              </w:rPr>
              <w:t>,</w:t>
            </w:r>
            <w:r w:rsidR="00A366A9" w:rsidRPr="00A366A9">
              <w:rPr>
                <w:rFonts w:ascii="Arial" w:hAnsi="Arial" w:cs="Arial"/>
                <w:sz w:val="20"/>
                <w:szCs w:val="20"/>
              </w:rPr>
              <w:t>193</w:t>
            </w:r>
            <w:r w:rsidR="00CA1C5C">
              <w:rPr>
                <w:rFonts w:ascii="Arial" w:hAnsi="Arial" w:cs="Arial"/>
                <w:sz w:val="20"/>
                <w:szCs w:val="20"/>
              </w:rPr>
              <w:t xml:space="preserve"> </w:t>
            </w:r>
            <w:r w:rsidRPr="00A1411C">
              <w:rPr>
                <w:rFonts w:ascii="Arial" w:hAnsi="Arial" w:cs="Arial"/>
                <w:sz w:val="20"/>
                <w:szCs w:val="20"/>
              </w:rPr>
              <w:t xml:space="preserve">million, which represents </w:t>
            </w:r>
            <w:r w:rsidR="00A366A9" w:rsidRPr="00A366A9">
              <w:rPr>
                <w:rFonts w:ascii="Arial" w:hAnsi="Arial" w:cs="Arial"/>
                <w:sz w:val="20"/>
                <w:szCs w:val="20"/>
              </w:rPr>
              <w:t>1</w:t>
            </w:r>
            <w:r w:rsidR="00CA1C5C">
              <w:rPr>
                <w:rFonts w:ascii="Arial" w:hAnsi="Arial" w:cs="Arial"/>
                <w:sz w:val="20"/>
                <w:szCs w:val="20"/>
              </w:rPr>
              <w:t>.</w:t>
            </w:r>
            <w:r w:rsidR="00A366A9" w:rsidRPr="00A366A9">
              <w:rPr>
                <w:rFonts w:ascii="Arial" w:hAnsi="Arial" w:cs="Arial"/>
                <w:sz w:val="20"/>
                <w:szCs w:val="20"/>
              </w:rPr>
              <w:t>04</w:t>
            </w:r>
            <w:r w:rsidRPr="00A1411C">
              <w:rPr>
                <w:rFonts w:ascii="Arial" w:hAnsi="Arial" w:cs="Arial"/>
                <w:sz w:val="20"/>
                <w:szCs w:val="20"/>
              </w:rPr>
              <w:t xml:space="preserve">% of the </w:t>
            </w:r>
            <w:r w:rsidRPr="00C15B62">
              <w:rPr>
                <w:rFonts w:ascii="Arial" w:hAnsi="Arial" w:cs="Arial"/>
                <w:spacing w:val="-8"/>
                <w:sz w:val="20"/>
                <w:szCs w:val="20"/>
              </w:rPr>
              <w:t>total</w:t>
            </w:r>
            <w:r w:rsidR="00A94FA2" w:rsidRPr="00C15B62">
              <w:rPr>
                <w:rFonts w:ascii="Arial" w:hAnsi="Arial" w:cs="Arial"/>
                <w:spacing w:val="-8"/>
                <w:sz w:val="20"/>
                <w:szCs w:val="20"/>
              </w:rPr>
              <w:t xml:space="preserve"> </w:t>
            </w:r>
            <w:r w:rsidRPr="00C15B62">
              <w:rPr>
                <w:rFonts w:ascii="Arial" w:hAnsi="Arial" w:cs="Arial"/>
                <w:spacing w:val="-8"/>
                <w:sz w:val="20"/>
                <w:szCs w:val="20"/>
              </w:rPr>
              <w:t>assets</w:t>
            </w:r>
            <w:r w:rsidR="00A94FA2" w:rsidRPr="00C15B62">
              <w:rPr>
                <w:rFonts w:ascii="Arial" w:hAnsi="Arial" w:cs="Arial"/>
                <w:spacing w:val="-8"/>
                <w:sz w:val="20"/>
                <w:szCs w:val="20"/>
              </w:rPr>
              <w:t xml:space="preserve"> in the consolidated financial statements</w:t>
            </w:r>
            <w:r w:rsidRPr="00A1411C">
              <w:rPr>
                <w:rFonts w:ascii="Arial" w:hAnsi="Arial" w:cs="Arial"/>
                <w:sz w:val="20"/>
                <w:szCs w:val="20"/>
              </w:rPr>
              <w:t xml:space="preserve">. Goodwill of Baht </w:t>
            </w:r>
            <w:r w:rsidR="00A366A9" w:rsidRPr="00A366A9">
              <w:rPr>
                <w:rFonts w:ascii="Arial" w:hAnsi="Arial" w:cs="Arial"/>
                <w:sz w:val="20"/>
                <w:szCs w:val="20"/>
              </w:rPr>
              <w:t>984</w:t>
            </w:r>
            <w:r w:rsidR="00026EFC" w:rsidRPr="00A1411C">
              <w:rPr>
                <w:rFonts w:ascii="Arial" w:hAnsi="Arial" w:cs="Arial"/>
                <w:sz w:val="20"/>
                <w:szCs w:val="20"/>
              </w:rPr>
              <w:t xml:space="preserve"> </w:t>
            </w:r>
            <w:r w:rsidRPr="00A1411C">
              <w:rPr>
                <w:rFonts w:ascii="Arial" w:hAnsi="Arial" w:cs="Arial"/>
                <w:sz w:val="20"/>
                <w:szCs w:val="20"/>
              </w:rPr>
              <w:t xml:space="preserve">million arose from the </w:t>
            </w:r>
            <w:r w:rsidRPr="00A1411C">
              <w:rPr>
                <w:rFonts w:ascii="Arial" w:hAnsi="Arial" w:cs="Arial"/>
                <w:spacing w:val="-6"/>
                <w:sz w:val="20"/>
                <w:szCs w:val="20"/>
              </w:rPr>
              <w:t>acquisition of a battery developing,</w:t>
            </w:r>
            <w:r w:rsidR="00A94FA2" w:rsidRPr="00A1411C">
              <w:rPr>
                <w:rFonts w:ascii="Arial" w:hAnsi="Arial" w:cs="Arial"/>
                <w:spacing w:val="-6"/>
                <w:sz w:val="20"/>
                <w:szCs w:val="20"/>
              </w:rPr>
              <w:t xml:space="preserve"> </w:t>
            </w:r>
            <w:r w:rsidRPr="00A1411C">
              <w:rPr>
                <w:rFonts w:ascii="Arial" w:hAnsi="Arial" w:cs="Arial"/>
                <w:spacing w:val="-6"/>
                <w:sz w:val="20"/>
                <w:szCs w:val="20"/>
              </w:rPr>
              <w:t>manufacturing</w:t>
            </w:r>
            <w:r w:rsidRPr="00A1411C">
              <w:rPr>
                <w:rFonts w:ascii="Arial" w:hAnsi="Arial" w:cs="Arial"/>
                <w:sz w:val="20"/>
                <w:szCs w:val="20"/>
              </w:rPr>
              <w:t xml:space="preserve"> and distributi</w:t>
            </w:r>
            <w:r w:rsidR="00E74204">
              <w:rPr>
                <w:rFonts w:ascii="Arial" w:hAnsi="Arial" w:cs="Arial"/>
                <w:sz w:val="20"/>
                <w:szCs w:val="20"/>
              </w:rPr>
              <w:t>ng</w:t>
            </w:r>
            <w:r w:rsidRPr="00A1411C">
              <w:rPr>
                <w:rFonts w:ascii="Arial" w:hAnsi="Arial" w:cs="Arial"/>
                <w:sz w:val="20"/>
                <w:szCs w:val="20"/>
              </w:rPr>
              <w:t xml:space="preserve"> business.</w:t>
            </w:r>
            <w:r w:rsidR="00BF6676" w:rsidRPr="00A1411C">
              <w:rPr>
                <w:rFonts w:ascii="Arial" w:hAnsi="Arial" w:cs="Arial"/>
                <w:sz w:val="20"/>
                <w:szCs w:val="20"/>
              </w:rPr>
              <w:t xml:space="preserve"> The </w:t>
            </w:r>
            <w:r w:rsidR="008B345C">
              <w:rPr>
                <w:rFonts w:ascii="Arial" w:hAnsi="Arial" w:cs="Arial"/>
                <w:sz w:val="20"/>
                <w:szCs w:val="20"/>
              </w:rPr>
              <w:t>balance</w:t>
            </w:r>
            <w:r w:rsidRPr="00A1411C">
              <w:rPr>
                <w:rFonts w:ascii="Arial" w:hAnsi="Arial" w:cs="Arial"/>
                <w:sz w:val="20"/>
                <w:szCs w:val="20"/>
              </w:rPr>
              <w:t xml:space="preserve"> </w:t>
            </w:r>
            <w:r w:rsidR="00BF6676" w:rsidRPr="00A1411C">
              <w:rPr>
                <w:rFonts w:ascii="Arial" w:hAnsi="Arial" w:cs="Arial"/>
                <w:sz w:val="20"/>
                <w:szCs w:val="20"/>
              </w:rPr>
              <w:t xml:space="preserve">of </w:t>
            </w:r>
            <w:r w:rsidR="00BF6676" w:rsidRPr="00A1411C">
              <w:rPr>
                <w:rFonts w:ascii="Arial" w:hAnsi="Arial" w:cs="Arial"/>
                <w:spacing w:val="-6"/>
                <w:sz w:val="20"/>
                <w:szCs w:val="20"/>
              </w:rPr>
              <w:t xml:space="preserve">Baht </w:t>
            </w:r>
            <w:r w:rsidR="00A366A9" w:rsidRPr="00A366A9">
              <w:rPr>
                <w:rFonts w:ascii="Arial" w:hAnsi="Arial" w:cs="Arial"/>
                <w:spacing w:val="-6"/>
                <w:sz w:val="20"/>
                <w:szCs w:val="20"/>
              </w:rPr>
              <w:t>209</w:t>
            </w:r>
            <w:r w:rsidR="00A94FA2" w:rsidRPr="00A1411C">
              <w:rPr>
                <w:rFonts w:ascii="Arial" w:hAnsi="Arial" w:cs="Arial"/>
                <w:spacing w:val="-6"/>
                <w:sz w:val="20"/>
                <w:szCs w:val="20"/>
              </w:rPr>
              <w:t xml:space="preserve"> million</w:t>
            </w:r>
            <w:r w:rsidR="00BF6676" w:rsidRPr="00A1411C">
              <w:rPr>
                <w:rFonts w:ascii="Arial" w:hAnsi="Arial" w:cs="Arial"/>
                <w:spacing w:val="-6"/>
                <w:sz w:val="20"/>
                <w:szCs w:val="20"/>
              </w:rPr>
              <w:t xml:space="preserve"> </w:t>
            </w:r>
            <w:r w:rsidR="00516CF7">
              <w:rPr>
                <w:rFonts w:ascii="Arial" w:hAnsi="Arial" w:cs="Arial"/>
                <w:spacing w:val="-6"/>
                <w:sz w:val="20"/>
                <w:szCs w:val="20"/>
              </w:rPr>
              <w:t xml:space="preserve">mostly </w:t>
            </w:r>
            <w:r w:rsidR="00BF6676" w:rsidRPr="00A1411C">
              <w:rPr>
                <w:rFonts w:ascii="Arial" w:hAnsi="Arial" w:cs="Arial"/>
                <w:spacing w:val="-6"/>
                <w:sz w:val="20"/>
                <w:szCs w:val="20"/>
              </w:rPr>
              <w:t>arose from the</w:t>
            </w:r>
            <w:r w:rsidR="00CA1C5C">
              <w:rPr>
                <w:rFonts w:ascii="Arial" w:hAnsi="Arial" w:cs="Arial"/>
                <w:spacing w:val="-6"/>
                <w:sz w:val="20"/>
                <w:szCs w:val="20"/>
              </w:rPr>
              <w:t xml:space="preserve"> </w:t>
            </w:r>
            <w:r w:rsidR="00BF6676" w:rsidRPr="00A1411C">
              <w:rPr>
                <w:rFonts w:ascii="Arial" w:hAnsi="Arial" w:cs="Arial"/>
                <w:spacing w:val="-6"/>
                <w:sz w:val="20"/>
                <w:szCs w:val="20"/>
              </w:rPr>
              <w:t>acquisition</w:t>
            </w:r>
            <w:r w:rsidR="00CA1C5C">
              <w:rPr>
                <w:rFonts w:ascii="Arial" w:hAnsi="Arial" w:cs="Arial"/>
                <w:spacing w:val="-6"/>
                <w:sz w:val="20"/>
                <w:szCs w:val="20"/>
              </w:rPr>
              <w:t>s</w:t>
            </w:r>
            <w:r w:rsidR="00CA1C5C">
              <w:rPr>
                <w:rFonts w:ascii="Arial" w:hAnsi="Arial" w:cs="Arial"/>
                <w:sz w:val="20"/>
                <w:szCs w:val="20"/>
              </w:rPr>
              <w:t xml:space="preserve"> </w:t>
            </w:r>
            <w:r w:rsidR="00BF6676" w:rsidRPr="00A1411C">
              <w:rPr>
                <w:rFonts w:ascii="Arial" w:hAnsi="Arial" w:cs="Arial"/>
                <w:sz w:val="20"/>
                <w:szCs w:val="20"/>
              </w:rPr>
              <w:t xml:space="preserve">of palm crushing mills and biomass power plant </w:t>
            </w:r>
            <w:r w:rsidR="00BF6676" w:rsidRPr="00A1411C">
              <w:rPr>
                <w:rFonts w:ascii="Arial" w:hAnsi="Arial" w:cs="Arial"/>
                <w:spacing w:val="-10"/>
                <w:sz w:val="20"/>
                <w:szCs w:val="20"/>
              </w:rPr>
              <w:t xml:space="preserve">business. </w:t>
            </w:r>
            <w:r w:rsidRPr="00A1411C">
              <w:rPr>
                <w:rFonts w:ascii="Arial" w:hAnsi="Arial" w:cs="Arial"/>
                <w:spacing w:val="-10"/>
                <w:sz w:val="20"/>
                <w:szCs w:val="20"/>
              </w:rPr>
              <w:t>The Group did not recognise an impairment</w:t>
            </w:r>
            <w:r w:rsidRPr="00A1411C">
              <w:rPr>
                <w:rFonts w:ascii="Arial" w:hAnsi="Arial" w:cs="Arial"/>
                <w:sz w:val="20"/>
                <w:szCs w:val="20"/>
              </w:rPr>
              <w:t xml:space="preserve"> </w:t>
            </w:r>
            <w:r w:rsidRPr="00A1411C">
              <w:rPr>
                <w:rFonts w:ascii="Arial" w:hAnsi="Arial" w:cs="Arial"/>
                <w:spacing w:val="-4"/>
                <w:sz w:val="20"/>
                <w:szCs w:val="20"/>
              </w:rPr>
              <w:t>loss</w:t>
            </w:r>
            <w:r w:rsidR="00B51959" w:rsidRPr="00A1411C">
              <w:rPr>
                <w:rFonts w:ascii="Arial" w:hAnsi="Arial" w:cs="Arial"/>
                <w:spacing w:val="-4"/>
                <w:sz w:val="20"/>
                <w:szCs w:val="20"/>
              </w:rPr>
              <w:t xml:space="preserve"> on goodwill</w:t>
            </w:r>
            <w:r w:rsidRPr="00A1411C">
              <w:rPr>
                <w:rFonts w:ascii="Arial" w:hAnsi="Arial" w:cs="Arial"/>
                <w:spacing w:val="-4"/>
                <w:sz w:val="20"/>
                <w:szCs w:val="20"/>
              </w:rPr>
              <w:t xml:space="preserve"> in the </w:t>
            </w:r>
            <w:r w:rsidR="00A366A9" w:rsidRPr="00A366A9">
              <w:rPr>
                <w:rFonts w:ascii="Arial" w:hAnsi="Arial" w:cs="Arial"/>
                <w:spacing w:val="-4"/>
                <w:sz w:val="20"/>
                <w:szCs w:val="20"/>
              </w:rPr>
              <w:t>2023</w:t>
            </w:r>
            <w:r w:rsidRPr="00A1411C">
              <w:rPr>
                <w:rFonts w:ascii="Arial" w:hAnsi="Arial" w:cs="Arial"/>
                <w:spacing w:val="-4"/>
                <w:sz w:val="20"/>
                <w:szCs w:val="20"/>
              </w:rPr>
              <w:t xml:space="preserve"> consolidated financial statements.</w:t>
            </w:r>
          </w:p>
          <w:p w14:paraId="0A9A4912" w14:textId="77777777" w:rsidR="00082DAD" w:rsidRPr="00A1411C" w:rsidRDefault="00082DAD" w:rsidP="00B5198A">
            <w:pPr>
              <w:pStyle w:val="Default"/>
              <w:ind w:right="72"/>
              <w:jc w:val="thaiDistribute"/>
              <w:rPr>
                <w:color w:val="auto"/>
                <w:sz w:val="18"/>
                <w:szCs w:val="18"/>
              </w:rPr>
            </w:pPr>
          </w:p>
          <w:p w14:paraId="7DD8D963" w14:textId="5DB62E62" w:rsidR="003B4629" w:rsidRDefault="003B4629" w:rsidP="00B5198A">
            <w:pPr>
              <w:ind w:right="-18"/>
              <w:jc w:val="thaiDistribute"/>
              <w:rPr>
                <w:rFonts w:ascii="Arial" w:hAnsi="Arial" w:cs="Arial"/>
                <w:color w:val="000000"/>
                <w:sz w:val="20"/>
                <w:szCs w:val="20"/>
              </w:rPr>
            </w:pPr>
            <w:r w:rsidRPr="00A1411C">
              <w:rPr>
                <w:rFonts w:ascii="Arial" w:hAnsi="Arial" w:cs="Arial"/>
                <w:spacing w:val="-10"/>
                <w:sz w:val="20"/>
                <w:szCs w:val="20"/>
              </w:rPr>
              <w:t xml:space="preserve">The management tests goodwill impairment </w:t>
            </w:r>
            <w:r w:rsidR="00A15B76" w:rsidRPr="00A1411C">
              <w:rPr>
                <w:rFonts w:ascii="Arial" w:hAnsi="Arial" w:cs="Arial"/>
                <w:spacing w:val="-10"/>
                <w:sz w:val="20"/>
                <w:szCs w:val="20"/>
              </w:rPr>
              <w:t>annually</w:t>
            </w:r>
            <w:r w:rsidR="00A15B76" w:rsidRPr="00A1411C">
              <w:rPr>
                <w:rFonts w:ascii="Arial" w:hAnsi="Arial" w:cs="Arial"/>
                <w:sz w:val="20"/>
                <w:szCs w:val="20"/>
              </w:rPr>
              <w:t xml:space="preserve"> </w:t>
            </w:r>
            <w:r w:rsidR="00B82C04" w:rsidRPr="00A1411C">
              <w:rPr>
                <w:rFonts w:ascii="Arial" w:hAnsi="Arial" w:cs="Arial"/>
                <w:spacing w:val="-4"/>
                <w:sz w:val="20"/>
                <w:szCs w:val="20"/>
              </w:rPr>
              <w:t>and</w:t>
            </w:r>
            <w:r w:rsidRPr="00A1411C">
              <w:rPr>
                <w:rFonts w:ascii="Arial" w:hAnsi="Arial" w:cs="Arial"/>
                <w:spacing w:val="-4"/>
                <w:sz w:val="20"/>
                <w:szCs w:val="20"/>
              </w:rPr>
              <w:t xml:space="preserve"> whenever there is an indicator of impairment</w:t>
            </w:r>
            <w:r w:rsidRPr="00A1411C">
              <w:rPr>
                <w:rFonts w:ascii="Arial" w:hAnsi="Arial" w:cs="Arial"/>
                <w:sz w:val="20"/>
                <w:szCs w:val="20"/>
              </w:rPr>
              <w:t xml:space="preserve">. </w:t>
            </w:r>
            <w:r w:rsidRPr="00A1411C">
              <w:rPr>
                <w:rFonts w:ascii="Arial" w:hAnsi="Arial" w:cs="Arial"/>
                <w:spacing w:val="-2"/>
                <w:sz w:val="20"/>
                <w:szCs w:val="20"/>
              </w:rPr>
              <w:t>Also, the management performs impairment test</w:t>
            </w:r>
            <w:r w:rsidRPr="00A1411C">
              <w:rPr>
                <w:rFonts w:ascii="Arial" w:hAnsi="Arial" w:cs="Arial"/>
                <w:sz w:val="20"/>
                <w:szCs w:val="20"/>
              </w:rPr>
              <w:t xml:space="preserve"> at the cash-generating unit level (CGU) and calculates its recoverable amount by applying the value-in-use model. This model involves management’s significant judgments in </w:t>
            </w:r>
            <w:r w:rsidRPr="00A1411C">
              <w:rPr>
                <w:rFonts w:ascii="Arial" w:hAnsi="Arial" w:cs="Arial"/>
                <w:spacing w:val="-6"/>
                <w:sz w:val="20"/>
                <w:szCs w:val="20"/>
              </w:rPr>
              <w:t xml:space="preserve">respect to the future operating results, </w:t>
            </w:r>
            <w:r w:rsidRPr="00F57F95">
              <w:rPr>
                <w:rFonts w:ascii="Arial" w:hAnsi="Arial" w:cs="Arial"/>
                <w:color w:val="000000"/>
                <w:spacing w:val="-6"/>
                <w:sz w:val="20"/>
                <w:szCs w:val="20"/>
              </w:rPr>
              <w:t>the projected</w:t>
            </w:r>
            <w:r w:rsidRPr="00F57F95">
              <w:rPr>
                <w:rFonts w:ascii="Arial" w:hAnsi="Arial" w:cs="Arial"/>
                <w:color w:val="000000"/>
                <w:sz w:val="20"/>
                <w:szCs w:val="20"/>
              </w:rPr>
              <w:t xml:space="preserve"> cash flows and the appropriate discount rate to be </w:t>
            </w:r>
            <w:r w:rsidRPr="00644EF6">
              <w:rPr>
                <w:rFonts w:ascii="Arial" w:hAnsi="Arial" w:cs="Arial"/>
                <w:color w:val="000000"/>
                <w:sz w:val="20"/>
                <w:szCs w:val="20"/>
              </w:rPr>
              <w:t xml:space="preserve">applied to those projected cash flows. </w:t>
            </w:r>
            <w:r w:rsidR="008B345C">
              <w:rPr>
                <w:rFonts w:ascii="Arial" w:hAnsi="Arial" w:cs="Arial"/>
                <w:color w:val="000000"/>
                <w:sz w:val="20"/>
                <w:szCs w:val="20"/>
              </w:rPr>
              <w:t>The k</w:t>
            </w:r>
            <w:r w:rsidRPr="00644EF6">
              <w:rPr>
                <w:rFonts w:ascii="Arial" w:hAnsi="Arial" w:cs="Arial"/>
                <w:color w:val="000000"/>
                <w:sz w:val="20"/>
                <w:szCs w:val="20"/>
              </w:rPr>
              <w:t>ey assumptions</w:t>
            </w:r>
            <w:r w:rsidRPr="00F57F95">
              <w:rPr>
                <w:rFonts w:ascii="Arial" w:hAnsi="Arial" w:cs="Arial"/>
                <w:color w:val="000000"/>
                <w:sz w:val="20"/>
                <w:szCs w:val="20"/>
              </w:rPr>
              <w:t xml:space="preserve"> applied in the value-in-use model are as follows:</w:t>
            </w:r>
          </w:p>
          <w:p w14:paraId="23A29BE1" w14:textId="77777777" w:rsidR="00A14C8D" w:rsidRPr="00F57F95" w:rsidRDefault="00A14C8D" w:rsidP="00A14C8D">
            <w:pPr>
              <w:pStyle w:val="ListParagraph"/>
              <w:numPr>
                <w:ilvl w:val="0"/>
                <w:numId w:val="6"/>
              </w:numPr>
              <w:ind w:left="254" w:right="-18" w:hanging="254"/>
              <w:jc w:val="thaiDistribute"/>
              <w:rPr>
                <w:rFonts w:ascii="Arial" w:hAnsi="Arial" w:cs="Arial"/>
                <w:sz w:val="20"/>
                <w:szCs w:val="20"/>
              </w:rPr>
            </w:pPr>
            <w:r w:rsidRPr="00F57F95">
              <w:rPr>
                <w:rFonts w:ascii="Arial" w:hAnsi="Arial" w:cs="Arial"/>
                <w:sz w:val="20"/>
                <w:szCs w:val="20"/>
              </w:rPr>
              <w:t>revenue growth rate and estimated changes in expenditures of the business</w:t>
            </w:r>
            <w:r>
              <w:rPr>
                <w:rFonts w:ascii="Arial" w:hAnsi="Arial" w:cs="Arial"/>
                <w:sz w:val="20"/>
                <w:szCs w:val="20"/>
              </w:rPr>
              <w:t>.</w:t>
            </w:r>
          </w:p>
          <w:p w14:paraId="3042D26B" w14:textId="77777777" w:rsidR="00A14C8D" w:rsidRPr="00F57F95" w:rsidRDefault="00A14C8D" w:rsidP="00A14C8D">
            <w:pPr>
              <w:pStyle w:val="ListParagraph"/>
              <w:numPr>
                <w:ilvl w:val="0"/>
                <w:numId w:val="6"/>
              </w:numPr>
              <w:ind w:left="254" w:right="-18" w:hanging="254"/>
              <w:jc w:val="thaiDistribute"/>
              <w:rPr>
                <w:rFonts w:ascii="Arial" w:hAnsi="Arial" w:cs="Arial"/>
                <w:sz w:val="20"/>
                <w:szCs w:val="20"/>
              </w:rPr>
            </w:pPr>
            <w:r w:rsidRPr="00F57F95">
              <w:rPr>
                <w:rFonts w:ascii="Arial" w:hAnsi="Arial" w:cs="Arial"/>
                <w:sz w:val="20"/>
                <w:szCs w:val="20"/>
              </w:rPr>
              <w:t xml:space="preserve">discount rate applied to the projected cash </w:t>
            </w:r>
            <w:r w:rsidRPr="00F57F95">
              <w:rPr>
                <w:rFonts w:ascii="Arial" w:hAnsi="Arial" w:cs="Arial"/>
                <w:color w:val="000000"/>
                <w:spacing w:val="-6"/>
                <w:sz w:val="20"/>
                <w:szCs w:val="20"/>
              </w:rPr>
              <w:t>flows which is calculated from capital structure</w:t>
            </w:r>
            <w:r w:rsidRPr="00F57F95">
              <w:rPr>
                <w:rFonts w:ascii="Arial" w:hAnsi="Arial" w:cs="Arial"/>
                <w:sz w:val="20"/>
                <w:szCs w:val="20"/>
              </w:rPr>
              <w:t>, industry specific risk and beta from available industry information.</w:t>
            </w:r>
          </w:p>
          <w:p w14:paraId="6B1F66A2" w14:textId="77777777" w:rsidR="00082DAD" w:rsidRPr="00B5198A" w:rsidRDefault="00082DAD" w:rsidP="00B5198A">
            <w:pPr>
              <w:pStyle w:val="Default"/>
              <w:ind w:right="72"/>
              <w:jc w:val="thaiDistribute"/>
              <w:rPr>
                <w:sz w:val="18"/>
                <w:szCs w:val="18"/>
              </w:rPr>
            </w:pPr>
          </w:p>
          <w:p w14:paraId="2EB13210" w14:textId="512A046C" w:rsidR="00082DAD" w:rsidRPr="00B5198A" w:rsidRDefault="00082DAD" w:rsidP="00B5198A">
            <w:pPr>
              <w:jc w:val="thaiDistribute"/>
              <w:rPr>
                <w:rFonts w:ascii="Arial" w:eastAsia="Arial" w:hAnsi="Arial" w:cs="Arial"/>
                <w:color w:val="000000"/>
                <w:sz w:val="18"/>
                <w:szCs w:val="18"/>
                <w:lang w:bidi="ar-SA"/>
              </w:rPr>
            </w:pPr>
            <w:r w:rsidRPr="00B5198A">
              <w:rPr>
                <w:rFonts w:ascii="Arial" w:hAnsi="Arial" w:cs="Arial"/>
                <w:color w:val="000000"/>
                <w:sz w:val="20"/>
                <w:szCs w:val="20"/>
              </w:rPr>
              <w:t xml:space="preserve">I </w:t>
            </w:r>
            <w:r w:rsidRPr="00C15B62">
              <w:rPr>
                <w:rFonts w:ascii="Arial" w:hAnsi="Arial" w:cs="Arial"/>
                <w:color w:val="000000"/>
                <w:sz w:val="20"/>
                <w:szCs w:val="20"/>
              </w:rPr>
              <w:t xml:space="preserve">focussed on the valuation of goodwill arising </w:t>
            </w:r>
            <w:r w:rsidR="00BF6676" w:rsidRPr="00C15B62">
              <w:rPr>
                <w:rFonts w:ascii="Arial" w:hAnsi="Arial" w:cs="Arial"/>
                <w:color w:val="000000"/>
                <w:sz w:val="20"/>
                <w:szCs w:val="20"/>
              </w:rPr>
              <w:t>from the acquisition of a battery developing, manufacturing and distributing business</w:t>
            </w:r>
            <w:r w:rsidRPr="00C15B62">
              <w:rPr>
                <w:rFonts w:ascii="Arial" w:hAnsi="Arial" w:cs="Arial"/>
                <w:color w:val="000000"/>
                <w:sz w:val="20"/>
                <w:szCs w:val="20"/>
              </w:rPr>
              <w:t xml:space="preserve"> due to </w:t>
            </w:r>
            <w:r w:rsidRPr="009C0919">
              <w:rPr>
                <w:rFonts w:ascii="Arial" w:hAnsi="Arial" w:cs="Arial"/>
                <w:color w:val="000000"/>
                <w:sz w:val="20"/>
                <w:szCs w:val="20"/>
              </w:rPr>
              <w:t>its significant value and the fact that the determination</w:t>
            </w:r>
            <w:r w:rsidRPr="00C15B62">
              <w:rPr>
                <w:rFonts w:ascii="Arial" w:hAnsi="Arial" w:cs="Arial"/>
                <w:color w:val="000000"/>
                <w:sz w:val="20"/>
                <w:szCs w:val="20"/>
              </w:rPr>
              <w:t xml:space="preserve"> of value-in-use depends on a number of assumptions. Those assumptions involve management’s significant judgements </w:t>
            </w:r>
            <w:r w:rsidRPr="00C15B62">
              <w:rPr>
                <w:rFonts w:ascii="Arial" w:hAnsi="Arial" w:cs="Arial"/>
                <w:color w:val="000000"/>
                <w:spacing w:val="-4"/>
                <w:sz w:val="20"/>
                <w:szCs w:val="20"/>
              </w:rPr>
              <w:t>in assessing the feasibility of future business plans</w:t>
            </w:r>
            <w:r w:rsidRPr="00B5198A">
              <w:rPr>
                <w:rFonts w:ascii="Arial" w:hAnsi="Arial" w:cs="Arial"/>
                <w:color w:val="000000"/>
                <w:sz w:val="20"/>
                <w:szCs w:val="20"/>
              </w:rPr>
              <w:t>.</w:t>
            </w:r>
          </w:p>
        </w:tc>
        <w:tc>
          <w:tcPr>
            <w:tcW w:w="4821" w:type="dxa"/>
            <w:shd w:val="clear" w:color="auto" w:fill="FAFAFA"/>
          </w:tcPr>
          <w:p w14:paraId="79AA7FE1" w14:textId="53F8791A" w:rsidR="00082DAD" w:rsidRPr="00B5198A" w:rsidRDefault="00082DAD" w:rsidP="00B5198A">
            <w:pPr>
              <w:ind w:right="-18"/>
              <w:jc w:val="thaiDistribute"/>
              <w:rPr>
                <w:rFonts w:ascii="Arial" w:hAnsi="Arial" w:cs="Arial"/>
                <w:color w:val="000000"/>
                <w:sz w:val="20"/>
                <w:szCs w:val="20"/>
              </w:rPr>
            </w:pPr>
            <w:r w:rsidRPr="00B5198A">
              <w:rPr>
                <w:rFonts w:ascii="Arial" w:hAnsi="Arial" w:cs="Arial"/>
                <w:color w:val="000000"/>
                <w:sz w:val="20"/>
                <w:szCs w:val="20"/>
              </w:rPr>
              <w:t xml:space="preserve">I carried out the following procedures to assess the impairment testing of the goodwill arising from the </w:t>
            </w:r>
            <w:r w:rsidR="000B3C0F" w:rsidRPr="00B5198A">
              <w:rPr>
                <w:rFonts w:ascii="Arial" w:hAnsi="Arial" w:cs="Arial"/>
                <w:color w:val="000000"/>
                <w:sz w:val="20"/>
                <w:szCs w:val="20"/>
              </w:rPr>
              <w:t xml:space="preserve">acquisition of a battery developing, manufacturing and distributing business </w:t>
            </w:r>
            <w:r w:rsidRPr="00B5198A">
              <w:rPr>
                <w:rFonts w:ascii="Arial" w:hAnsi="Arial" w:cs="Arial"/>
                <w:color w:val="000000"/>
                <w:sz w:val="20"/>
                <w:szCs w:val="20"/>
              </w:rPr>
              <w:t>which was prepared by the management.</w:t>
            </w:r>
          </w:p>
          <w:p w14:paraId="1CF8CD88" w14:textId="77777777" w:rsidR="00082DAD" w:rsidRPr="00B5198A" w:rsidRDefault="00082DAD" w:rsidP="00B5198A">
            <w:pPr>
              <w:ind w:right="-18"/>
              <w:jc w:val="thaiDistribute"/>
              <w:rPr>
                <w:rFonts w:ascii="Arial" w:hAnsi="Arial" w:cs="Arial"/>
                <w:color w:val="000000"/>
                <w:sz w:val="20"/>
                <w:szCs w:val="20"/>
              </w:rPr>
            </w:pPr>
          </w:p>
          <w:p w14:paraId="0FF19860" w14:textId="77777777" w:rsidR="00082DAD" w:rsidRPr="00B5198A" w:rsidRDefault="00082DAD" w:rsidP="00B5198A">
            <w:pPr>
              <w:pStyle w:val="ListParagraph"/>
              <w:numPr>
                <w:ilvl w:val="0"/>
                <w:numId w:val="6"/>
              </w:numPr>
              <w:ind w:left="254" w:right="-18" w:hanging="254"/>
              <w:jc w:val="thaiDistribute"/>
              <w:rPr>
                <w:rFonts w:ascii="Arial" w:hAnsi="Arial" w:cs="Arial"/>
                <w:sz w:val="20"/>
                <w:szCs w:val="20"/>
              </w:rPr>
            </w:pPr>
            <w:r w:rsidRPr="00B5198A">
              <w:rPr>
                <w:rFonts w:ascii="Arial" w:hAnsi="Arial" w:cs="Arial"/>
                <w:sz w:val="20"/>
                <w:szCs w:val="20"/>
              </w:rPr>
              <w:t xml:space="preserve">assessed the appropriateness of management’s identification of the CGUs. </w:t>
            </w:r>
          </w:p>
          <w:p w14:paraId="426F56AB" w14:textId="77777777" w:rsidR="00082DAD" w:rsidRPr="00B5198A" w:rsidRDefault="00082DAD" w:rsidP="00B5198A">
            <w:pPr>
              <w:pStyle w:val="ListParagraph"/>
              <w:numPr>
                <w:ilvl w:val="0"/>
                <w:numId w:val="6"/>
              </w:numPr>
              <w:ind w:left="254" w:right="-18" w:hanging="254"/>
              <w:jc w:val="thaiDistribute"/>
              <w:rPr>
                <w:rFonts w:ascii="Arial" w:hAnsi="Arial" w:cs="Arial"/>
                <w:sz w:val="20"/>
                <w:szCs w:val="20"/>
              </w:rPr>
            </w:pPr>
            <w:r w:rsidRPr="00B5198A">
              <w:rPr>
                <w:rFonts w:ascii="Arial" w:hAnsi="Arial" w:cs="Arial"/>
                <w:sz w:val="20"/>
                <w:szCs w:val="20"/>
              </w:rPr>
              <w:t xml:space="preserve">held discussions with management to understand </w:t>
            </w:r>
            <w:r w:rsidRPr="00B5198A">
              <w:rPr>
                <w:rFonts w:ascii="Arial" w:hAnsi="Arial" w:cs="Arial"/>
                <w:spacing w:val="-4"/>
                <w:sz w:val="20"/>
                <w:szCs w:val="20"/>
              </w:rPr>
              <w:t>the basis for the assumptions applied and evaluated</w:t>
            </w:r>
            <w:r w:rsidRPr="00B5198A">
              <w:rPr>
                <w:rFonts w:ascii="Arial" w:hAnsi="Arial" w:cs="Arial"/>
                <w:sz w:val="20"/>
                <w:szCs w:val="20"/>
              </w:rPr>
              <w:t xml:space="preserve"> whether the goodwill impairment testing process and assumptions had been applied appropriately and were in line with the nature of the business.</w:t>
            </w:r>
          </w:p>
          <w:p w14:paraId="445CB603" w14:textId="3AD3E49B" w:rsidR="00082DAD" w:rsidRPr="00A1411C" w:rsidRDefault="00BB544D" w:rsidP="00B5198A">
            <w:pPr>
              <w:pStyle w:val="ListParagraph"/>
              <w:numPr>
                <w:ilvl w:val="0"/>
                <w:numId w:val="6"/>
              </w:numPr>
              <w:ind w:left="254" w:right="-18" w:hanging="254"/>
              <w:jc w:val="thaiDistribute"/>
              <w:rPr>
                <w:rFonts w:ascii="Arial" w:hAnsi="Arial" w:cs="Arial"/>
                <w:sz w:val="20"/>
                <w:szCs w:val="20"/>
              </w:rPr>
            </w:pPr>
            <w:r w:rsidRPr="00F57F95">
              <w:rPr>
                <w:rFonts w:ascii="Arial" w:hAnsi="Arial" w:cs="Arial"/>
                <w:color w:val="000000"/>
                <w:spacing w:val="-4"/>
                <w:sz w:val="20"/>
                <w:szCs w:val="20"/>
              </w:rPr>
              <w:t>challenged management’s significant assumptions</w:t>
            </w:r>
            <w:r w:rsidRPr="00F57F95">
              <w:rPr>
                <w:rFonts w:ascii="Arial" w:hAnsi="Arial" w:cs="Arial"/>
                <w:sz w:val="20"/>
                <w:szCs w:val="20"/>
              </w:rPr>
              <w:t xml:space="preserve"> </w:t>
            </w:r>
            <w:r w:rsidRPr="00F57F95">
              <w:rPr>
                <w:rFonts w:ascii="Arial" w:hAnsi="Arial" w:cs="Arial"/>
                <w:spacing w:val="-4"/>
                <w:sz w:val="20"/>
                <w:szCs w:val="20"/>
              </w:rPr>
              <w:t>used in the goodwill impairment testing, especially</w:t>
            </w:r>
            <w:r w:rsidRPr="00F57F95">
              <w:rPr>
                <w:rFonts w:ascii="Arial" w:hAnsi="Arial" w:cs="Arial"/>
                <w:sz w:val="20"/>
                <w:szCs w:val="20"/>
              </w:rPr>
              <w:t xml:space="preserve"> the revenue growth</w:t>
            </w:r>
            <w:r w:rsidRPr="00F57F95">
              <w:rPr>
                <w:rFonts w:ascii="Arial" w:hAnsi="Arial" w:cs="Arial"/>
                <w:color w:val="000000"/>
                <w:sz w:val="20"/>
                <w:szCs w:val="20"/>
              </w:rPr>
              <w:t xml:space="preserve"> </w:t>
            </w:r>
            <w:r w:rsidRPr="00F57F95">
              <w:rPr>
                <w:rFonts w:ascii="Arial" w:hAnsi="Arial" w:cs="Arial"/>
                <w:sz w:val="20"/>
                <w:szCs w:val="20"/>
              </w:rPr>
              <w:t xml:space="preserve">rate, estimated changes in </w:t>
            </w:r>
            <w:r w:rsidRPr="00A1411C">
              <w:rPr>
                <w:rFonts w:ascii="Arial" w:hAnsi="Arial" w:cs="Arial"/>
                <w:sz w:val="20"/>
                <w:szCs w:val="20"/>
              </w:rPr>
              <w:t xml:space="preserve">expenditures and discount rate. My procedures </w:t>
            </w:r>
            <w:r w:rsidRPr="00A1411C">
              <w:rPr>
                <w:rFonts w:ascii="Arial" w:hAnsi="Arial" w:cs="Arial"/>
                <w:spacing w:val="-2"/>
                <w:sz w:val="20"/>
                <w:szCs w:val="20"/>
              </w:rPr>
              <w:t xml:space="preserve">included comparing those assumptions to </w:t>
            </w:r>
            <w:r w:rsidR="00CE796C" w:rsidRPr="00A1411C">
              <w:rPr>
                <w:rFonts w:ascii="Arial" w:hAnsi="Arial" w:cs="Arial"/>
                <w:spacing w:val="-2"/>
                <w:sz w:val="20"/>
                <w:szCs w:val="20"/>
              </w:rPr>
              <w:t>reliabl</w:t>
            </w:r>
            <w:r w:rsidR="00E95934" w:rsidRPr="00A1411C">
              <w:rPr>
                <w:rFonts w:ascii="Arial" w:hAnsi="Arial" w:cs="Arial"/>
                <w:spacing w:val="-2"/>
                <w:sz w:val="20"/>
                <w:szCs w:val="20"/>
              </w:rPr>
              <w:t>e</w:t>
            </w:r>
            <w:r w:rsidR="00CE796C" w:rsidRPr="00A1411C">
              <w:rPr>
                <w:rFonts w:ascii="Arial" w:hAnsi="Arial" w:cs="Arial"/>
                <w:spacing w:val="-2"/>
                <w:sz w:val="20"/>
                <w:szCs w:val="20"/>
              </w:rPr>
              <w:t xml:space="preserve"> </w:t>
            </w:r>
            <w:r w:rsidRPr="00A1411C">
              <w:rPr>
                <w:rFonts w:ascii="Arial" w:hAnsi="Arial" w:cs="Arial"/>
                <w:spacing w:val="-2"/>
                <w:sz w:val="20"/>
                <w:szCs w:val="20"/>
              </w:rPr>
              <w:t>external</w:t>
            </w:r>
            <w:r w:rsidRPr="00A1411C">
              <w:rPr>
                <w:rFonts w:ascii="Arial" w:hAnsi="Arial" w:cs="Arial"/>
                <w:sz w:val="20"/>
                <w:szCs w:val="20"/>
              </w:rPr>
              <w:t xml:space="preserve"> sources and the approved business plan</w:t>
            </w:r>
            <w:r w:rsidR="00082DAD" w:rsidRPr="00A1411C">
              <w:rPr>
                <w:rFonts w:ascii="Arial" w:hAnsi="Arial" w:cs="Arial"/>
                <w:sz w:val="20"/>
                <w:szCs w:val="20"/>
              </w:rPr>
              <w:t>.</w:t>
            </w:r>
          </w:p>
          <w:p w14:paraId="33BF6D67" w14:textId="4B89CECA" w:rsidR="00082DAD" w:rsidRPr="00A1411C" w:rsidRDefault="00082DAD" w:rsidP="00B5198A">
            <w:pPr>
              <w:pStyle w:val="ListParagraph"/>
              <w:numPr>
                <w:ilvl w:val="0"/>
                <w:numId w:val="6"/>
              </w:numPr>
              <w:ind w:left="254" w:right="-18" w:hanging="254"/>
              <w:jc w:val="thaiDistribute"/>
              <w:rPr>
                <w:rFonts w:ascii="Arial" w:hAnsi="Arial" w:cs="Arial"/>
                <w:sz w:val="20"/>
                <w:szCs w:val="20"/>
              </w:rPr>
            </w:pPr>
            <w:r w:rsidRPr="00A1411C">
              <w:rPr>
                <w:rFonts w:ascii="Arial" w:hAnsi="Arial" w:cs="Arial"/>
                <w:spacing w:val="-4"/>
                <w:sz w:val="20"/>
                <w:szCs w:val="20"/>
              </w:rPr>
              <w:t>assessed the reasonableness of the business plan</w:t>
            </w:r>
            <w:r w:rsidRPr="00A1411C">
              <w:rPr>
                <w:rFonts w:ascii="Arial" w:hAnsi="Arial" w:cs="Arial"/>
                <w:sz w:val="20"/>
                <w:szCs w:val="20"/>
              </w:rPr>
              <w:t xml:space="preserve"> by comparing the </w:t>
            </w:r>
            <w:r w:rsidR="00A366A9" w:rsidRPr="00A366A9">
              <w:rPr>
                <w:rFonts w:ascii="Arial" w:hAnsi="Arial" w:cs="Arial"/>
                <w:sz w:val="20"/>
                <w:szCs w:val="20"/>
              </w:rPr>
              <w:t>2023</w:t>
            </w:r>
            <w:r w:rsidRPr="00A1411C">
              <w:rPr>
                <w:rFonts w:ascii="Arial" w:hAnsi="Arial" w:cs="Arial"/>
                <w:sz w:val="20"/>
                <w:szCs w:val="20"/>
              </w:rPr>
              <w:t xml:space="preserve"> plan with actual results.</w:t>
            </w:r>
          </w:p>
          <w:p w14:paraId="51D4D9DD" w14:textId="14CCADDE" w:rsidR="00082DAD" w:rsidRPr="00A1411C" w:rsidRDefault="00082DAD" w:rsidP="00B5198A">
            <w:pPr>
              <w:pStyle w:val="ListParagraph"/>
              <w:numPr>
                <w:ilvl w:val="0"/>
                <w:numId w:val="6"/>
              </w:numPr>
              <w:ind w:left="254" w:right="-18" w:hanging="254"/>
              <w:jc w:val="thaiDistribute"/>
              <w:rPr>
                <w:rFonts w:ascii="Arial" w:hAnsi="Arial" w:cs="Arial"/>
                <w:spacing w:val="-4"/>
                <w:sz w:val="20"/>
                <w:szCs w:val="20"/>
              </w:rPr>
            </w:pPr>
            <w:r w:rsidRPr="00A1411C">
              <w:rPr>
                <w:rFonts w:ascii="Arial" w:hAnsi="Arial" w:cs="Arial"/>
                <w:sz w:val="20"/>
                <w:szCs w:val="20"/>
              </w:rPr>
              <w:t xml:space="preserve">assessed the discount rate taking into account </w:t>
            </w:r>
            <w:r w:rsidRPr="00A1411C">
              <w:rPr>
                <w:rFonts w:ascii="Arial" w:hAnsi="Arial" w:cs="Arial"/>
                <w:spacing w:val="-4"/>
                <w:sz w:val="20"/>
                <w:szCs w:val="20"/>
              </w:rPr>
              <w:t xml:space="preserve">independently obtained data from </w:t>
            </w:r>
            <w:r w:rsidR="00CE796C" w:rsidRPr="00A1411C">
              <w:rPr>
                <w:rFonts w:ascii="Arial" w:hAnsi="Arial" w:cs="Arial"/>
                <w:spacing w:val="-4"/>
                <w:sz w:val="20"/>
                <w:szCs w:val="20"/>
              </w:rPr>
              <w:t xml:space="preserve">publicly </w:t>
            </w:r>
            <w:r w:rsidRPr="00A1411C">
              <w:rPr>
                <w:rFonts w:ascii="Arial" w:hAnsi="Arial" w:cs="Arial"/>
                <w:spacing w:val="-4"/>
                <w:sz w:val="20"/>
                <w:szCs w:val="20"/>
              </w:rPr>
              <w:t>available</w:t>
            </w:r>
            <w:r w:rsidRPr="00A1411C">
              <w:rPr>
                <w:rFonts w:ascii="Arial" w:hAnsi="Arial" w:cs="Arial"/>
                <w:sz w:val="20"/>
                <w:szCs w:val="20"/>
              </w:rPr>
              <w:t xml:space="preserve"> information</w:t>
            </w:r>
            <w:r w:rsidR="00397881" w:rsidRPr="00A1411C">
              <w:rPr>
                <w:rFonts w:ascii="Arial" w:hAnsi="Arial" w:cs="Arial"/>
                <w:sz w:val="20"/>
                <w:szCs w:val="20"/>
              </w:rPr>
              <w:t xml:space="preserve"> </w:t>
            </w:r>
            <w:r w:rsidR="00CE796C" w:rsidRPr="00A1411C">
              <w:rPr>
                <w:rFonts w:ascii="Arial" w:hAnsi="Arial" w:cs="Arial"/>
                <w:sz w:val="20"/>
                <w:szCs w:val="20"/>
              </w:rPr>
              <w:t>on other</w:t>
            </w:r>
            <w:r w:rsidRPr="00A1411C">
              <w:rPr>
                <w:rFonts w:ascii="Arial" w:hAnsi="Arial" w:cs="Arial"/>
                <w:sz w:val="20"/>
                <w:szCs w:val="20"/>
              </w:rPr>
              <w:t xml:space="preserve"> companies in the industry</w:t>
            </w:r>
            <w:r w:rsidR="00CE796C" w:rsidRPr="00A1411C">
              <w:rPr>
                <w:rFonts w:ascii="Arial" w:hAnsi="Arial" w:cs="Arial"/>
                <w:sz w:val="20"/>
                <w:szCs w:val="20"/>
              </w:rPr>
              <w:t>, obtained independently by the auditor’s expert,</w:t>
            </w:r>
            <w:r w:rsidRPr="00A1411C">
              <w:rPr>
                <w:rFonts w:ascii="Arial" w:hAnsi="Arial" w:cs="Arial"/>
                <w:sz w:val="20"/>
                <w:szCs w:val="20"/>
              </w:rPr>
              <w:t xml:space="preserve"> to </w:t>
            </w:r>
            <w:r w:rsidR="00B82C04" w:rsidRPr="00A1411C">
              <w:rPr>
                <w:rFonts w:ascii="Arial" w:hAnsi="Arial" w:cs="Arial"/>
                <w:sz w:val="20"/>
                <w:szCs w:val="20"/>
              </w:rPr>
              <w:t xml:space="preserve">evaluate </w:t>
            </w:r>
            <w:r w:rsidRPr="00A1411C">
              <w:rPr>
                <w:rFonts w:ascii="Arial" w:hAnsi="Arial" w:cs="Arial"/>
                <w:spacing w:val="-4"/>
                <w:sz w:val="20"/>
                <w:szCs w:val="20"/>
              </w:rPr>
              <w:t>whether the discount rate used by the management</w:t>
            </w:r>
            <w:r w:rsidRPr="00A1411C">
              <w:rPr>
                <w:rFonts w:ascii="Arial" w:hAnsi="Arial" w:cs="Arial"/>
                <w:sz w:val="20"/>
                <w:szCs w:val="20"/>
              </w:rPr>
              <w:t xml:space="preserve"> was </w:t>
            </w:r>
            <w:r w:rsidR="00CE796C" w:rsidRPr="00A1411C">
              <w:rPr>
                <w:rFonts w:ascii="Arial" w:hAnsi="Arial" w:cs="Arial"/>
                <w:sz w:val="20"/>
                <w:szCs w:val="20"/>
              </w:rPr>
              <w:t xml:space="preserve">within an acceptable range </w:t>
            </w:r>
            <w:r w:rsidR="00CE796C" w:rsidRPr="00A1411C">
              <w:rPr>
                <w:rFonts w:ascii="Arial" w:hAnsi="Arial" w:cs="Arial"/>
                <w:spacing w:val="-4"/>
                <w:sz w:val="20"/>
                <w:szCs w:val="20"/>
              </w:rPr>
              <w:t>compared to comparable companies in the industry.</w:t>
            </w:r>
          </w:p>
          <w:p w14:paraId="6DB6DE21" w14:textId="7E885B58" w:rsidR="00082DAD" w:rsidRPr="00B5198A" w:rsidRDefault="00FE4B9E" w:rsidP="00B5198A">
            <w:pPr>
              <w:pStyle w:val="ListParagraph"/>
              <w:numPr>
                <w:ilvl w:val="0"/>
                <w:numId w:val="6"/>
              </w:numPr>
              <w:ind w:left="254" w:right="-18" w:hanging="254"/>
              <w:jc w:val="thaiDistribute"/>
              <w:rPr>
                <w:rFonts w:ascii="Arial" w:hAnsi="Arial" w:cs="Arial"/>
                <w:sz w:val="20"/>
                <w:szCs w:val="20"/>
              </w:rPr>
            </w:pPr>
            <w:r w:rsidRPr="00A1411C">
              <w:rPr>
                <w:rFonts w:ascii="Arial" w:hAnsi="Arial" w:cs="Arial"/>
                <w:sz w:val="20"/>
                <w:szCs w:val="20"/>
              </w:rPr>
              <w:t xml:space="preserve">assessed the factors which were sensitive to assumptions and tested the sensitivity </w:t>
            </w:r>
            <w:r w:rsidRPr="00FE4B9E">
              <w:rPr>
                <w:rFonts w:ascii="Arial" w:hAnsi="Arial" w:cs="Arial"/>
                <w:sz w:val="20"/>
                <w:szCs w:val="20"/>
              </w:rPr>
              <w:t>analysis of key assumptions to assess the potential impact from changing in those assumptions.</w:t>
            </w:r>
          </w:p>
          <w:p w14:paraId="1B7498F1" w14:textId="77777777" w:rsidR="00082DAD" w:rsidRPr="00972181" w:rsidRDefault="00082DAD" w:rsidP="00972181">
            <w:pPr>
              <w:ind w:right="-18"/>
              <w:jc w:val="thaiDistribute"/>
              <w:rPr>
                <w:rFonts w:ascii="Arial" w:hAnsi="Arial" w:cs="Arial"/>
                <w:sz w:val="20"/>
                <w:szCs w:val="20"/>
              </w:rPr>
            </w:pPr>
          </w:p>
          <w:p w14:paraId="631C2041" w14:textId="71561D83" w:rsidR="00082DAD" w:rsidRPr="00972181" w:rsidRDefault="00082DAD" w:rsidP="00B5198A">
            <w:pPr>
              <w:pStyle w:val="Default"/>
              <w:jc w:val="thaiDistribute"/>
              <w:rPr>
                <w:spacing w:val="-4"/>
                <w:sz w:val="12"/>
                <w:szCs w:val="12"/>
              </w:rPr>
            </w:pPr>
            <w:r w:rsidRPr="00972181">
              <w:rPr>
                <w:sz w:val="20"/>
                <w:szCs w:val="20"/>
              </w:rPr>
              <w:t xml:space="preserve">As a result of the procedures performed, the key </w:t>
            </w:r>
            <w:r w:rsidRPr="00644EF6">
              <w:rPr>
                <w:spacing w:val="-6"/>
                <w:sz w:val="20"/>
                <w:szCs w:val="20"/>
              </w:rPr>
              <w:t xml:space="preserve">assumptions used by the management </w:t>
            </w:r>
            <w:r w:rsidR="002F323F" w:rsidRPr="00644EF6">
              <w:rPr>
                <w:spacing w:val="-6"/>
                <w:sz w:val="20"/>
                <w:szCs w:val="20"/>
              </w:rPr>
              <w:t>were</w:t>
            </w:r>
            <w:r w:rsidRPr="00644EF6">
              <w:rPr>
                <w:spacing w:val="-6"/>
                <w:sz w:val="20"/>
                <w:szCs w:val="20"/>
              </w:rPr>
              <w:t xml:space="preserve"> </w:t>
            </w:r>
            <w:r w:rsidR="00CB61C3" w:rsidRPr="00644EF6">
              <w:rPr>
                <w:spacing w:val="-6"/>
                <w:sz w:val="20"/>
                <w:szCs w:val="20"/>
              </w:rPr>
              <w:t>reasonable</w:t>
            </w:r>
            <w:r w:rsidR="00CB61C3">
              <w:rPr>
                <w:sz w:val="20"/>
                <w:szCs w:val="20"/>
              </w:rPr>
              <w:t xml:space="preserve"> </w:t>
            </w:r>
            <w:r w:rsidR="00CB61C3" w:rsidRPr="00644EF6">
              <w:rPr>
                <w:spacing w:val="-4"/>
                <w:sz w:val="20"/>
                <w:szCs w:val="20"/>
              </w:rPr>
              <w:t xml:space="preserve">and </w:t>
            </w:r>
            <w:r w:rsidRPr="00644EF6">
              <w:rPr>
                <w:spacing w:val="-4"/>
                <w:sz w:val="20"/>
                <w:szCs w:val="20"/>
              </w:rPr>
              <w:t>within the acceptable range</w:t>
            </w:r>
            <w:r w:rsidR="002F323F" w:rsidRPr="00644EF6">
              <w:rPr>
                <w:spacing w:val="-4"/>
                <w:sz w:val="20"/>
                <w:szCs w:val="20"/>
              </w:rPr>
              <w:t xml:space="preserve">. They were </w:t>
            </w:r>
            <w:r w:rsidRPr="00644EF6">
              <w:rPr>
                <w:spacing w:val="-4"/>
                <w:sz w:val="20"/>
                <w:szCs w:val="20"/>
              </w:rPr>
              <w:t>consistent</w:t>
            </w:r>
            <w:r w:rsidRPr="00972181">
              <w:rPr>
                <w:sz w:val="20"/>
                <w:szCs w:val="20"/>
              </w:rPr>
              <w:t xml:space="preserve"> with supporting evidence.</w:t>
            </w:r>
          </w:p>
        </w:tc>
      </w:tr>
      <w:tr w:rsidR="00B5198A" w:rsidRPr="00B5198A" w14:paraId="30E53D86" w14:textId="77777777" w:rsidTr="00644EF6">
        <w:tc>
          <w:tcPr>
            <w:tcW w:w="4395" w:type="dxa"/>
            <w:tcBorders>
              <w:bottom w:val="dotted" w:sz="4" w:space="0" w:color="FFA543"/>
            </w:tcBorders>
            <w:shd w:val="clear" w:color="auto" w:fill="auto"/>
          </w:tcPr>
          <w:p w14:paraId="7BC41D0A" w14:textId="77777777" w:rsidR="00B5198A" w:rsidRPr="00B5198A" w:rsidRDefault="00B5198A" w:rsidP="00B5198A">
            <w:pPr>
              <w:tabs>
                <w:tab w:val="left" w:pos="2892"/>
              </w:tabs>
              <w:ind w:right="72"/>
              <w:jc w:val="thaiDistribute"/>
              <w:rPr>
                <w:rFonts w:ascii="Arial" w:eastAsia="Arial" w:hAnsi="Arial" w:cs="Arial"/>
                <w:b/>
                <w:sz w:val="12"/>
                <w:szCs w:val="12"/>
                <w:lang w:bidi="ar-SA"/>
              </w:rPr>
            </w:pPr>
          </w:p>
        </w:tc>
        <w:tc>
          <w:tcPr>
            <w:tcW w:w="4821" w:type="dxa"/>
            <w:tcBorders>
              <w:bottom w:val="dotted" w:sz="4" w:space="0" w:color="FFA543"/>
            </w:tcBorders>
            <w:shd w:val="clear" w:color="auto" w:fill="FAFAFA"/>
          </w:tcPr>
          <w:p w14:paraId="2D9B10EE" w14:textId="77777777" w:rsidR="00B5198A" w:rsidRPr="00B5198A" w:rsidRDefault="00B5198A" w:rsidP="00B5198A">
            <w:pPr>
              <w:jc w:val="thaiDistribute"/>
              <w:rPr>
                <w:rFonts w:ascii="Arial" w:hAnsi="Arial" w:cs="Arial"/>
                <w:sz w:val="12"/>
                <w:szCs w:val="12"/>
              </w:rPr>
            </w:pPr>
          </w:p>
        </w:tc>
      </w:tr>
    </w:tbl>
    <w:p w14:paraId="38E916B2" w14:textId="77777777" w:rsidR="00BF0E45" w:rsidRDefault="00BF0E45" w:rsidP="00EE17E9">
      <w:pPr>
        <w:spacing w:after="0" w:line="240" w:lineRule="auto"/>
        <w:rPr>
          <w:rFonts w:ascii="Arial" w:hAnsi="Arial" w:cs="Arial"/>
          <w:b/>
          <w:bCs/>
          <w:color w:val="000000" w:themeColor="text1"/>
          <w:sz w:val="20"/>
          <w:szCs w:val="20"/>
        </w:rPr>
      </w:pPr>
      <w:r>
        <w:rPr>
          <w:rFonts w:ascii="Arial" w:hAnsi="Arial" w:cs="Arial"/>
          <w:b/>
          <w:bCs/>
          <w:color w:val="000000" w:themeColor="text1"/>
          <w:sz w:val="20"/>
          <w:szCs w:val="20"/>
        </w:rPr>
        <w:br w:type="page"/>
      </w: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75"/>
      </w:tblGrid>
      <w:tr w:rsidR="00082DAD" w:rsidRPr="002757B2" w14:paraId="28D5BB15" w14:textId="77777777" w:rsidTr="00EE17E9">
        <w:trPr>
          <w:trHeight w:val="346"/>
        </w:trPr>
        <w:tc>
          <w:tcPr>
            <w:tcW w:w="4395" w:type="dxa"/>
            <w:shd w:val="clear" w:color="auto" w:fill="FFA543"/>
            <w:vAlign w:val="center"/>
          </w:tcPr>
          <w:p w14:paraId="5A5F4F18" w14:textId="77777777" w:rsidR="00082DAD" w:rsidRPr="00A92691" w:rsidRDefault="00082DAD" w:rsidP="00D91308">
            <w:pPr>
              <w:pStyle w:val="Default"/>
              <w:ind w:right="244"/>
              <w:jc w:val="center"/>
              <w:rPr>
                <w:b/>
                <w:bCs/>
                <w:color w:val="FFFFFF" w:themeColor="background1"/>
                <w:sz w:val="20"/>
                <w:szCs w:val="20"/>
              </w:rPr>
            </w:pPr>
            <w:r w:rsidRPr="00A92691">
              <w:rPr>
                <w:b/>
                <w:bCs/>
                <w:color w:val="FFFFFF" w:themeColor="background1"/>
                <w:sz w:val="20"/>
                <w:szCs w:val="20"/>
              </w:rPr>
              <w:lastRenderedPageBreak/>
              <w:t>Key audit matter</w:t>
            </w:r>
          </w:p>
        </w:tc>
        <w:tc>
          <w:tcPr>
            <w:tcW w:w="4875" w:type="dxa"/>
            <w:shd w:val="clear" w:color="auto" w:fill="FFA543"/>
            <w:vAlign w:val="center"/>
          </w:tcPr>
          <w:p w14:paraId="156A4495" w14:textId="77777777" w:rsidR="00082DAD" w:rsidRPr="00A92691" w:rsidRDefault="00082DAD" w:rsidP="00D91308">
            <w:pPr>
              <w:pStyle w:val="Default"/>
              <w:jc w:val="center"/>
              <w:rPr>
                <w:b/>
                <w:bCs/>
                <w:color w:val="FFFFFF" w:themeColor="background1"/>
                <w:sz w:val="20"/>
                <w:szCs w:val="20"/>
              </w:rPr>
            </w:pPr>
            <w:r w:rsidRPr="00A92691">
              <w:rPr>
                <w:b/>
                <w:bCs/>
                <w:color w:val="FFFFFF" w:themeColor="background1"/>
                <w:sz w:val="20"/>
                <w:szCs w:val="20"/>
              </w:rPr>
              <w:t>How my audit addressed the key audit matter</w:t>
            </w:r>
          </w:p>
        </w:tc>
      </w:tr>
      <w:tr w:rsidR="00082DAD" w:rsidRPr="002757B2" w14:paraId="048EA329" w14:textId="77777777" w:rsidTr="00EE17E9">
        <w:tc>
          <w:tcPr>
            <w:tcW w:w="4395" w:type="dxa"/>
            <w:tcBorders>
              <w:top w:val="dotted" w:sz="4" w:space="0" w:color="ED8731"/>
            </w:tcBorders>
            <w:shd w:val="clear" w:color="auto" w:fill="auto"/>
          </w:tcPr>
          <w:p w14:paraId="2A76DBE3" w14:textId="77777777" w:rsidR="00082DAD" w:rsidRPr="00B5198A" w:rsidRDefault="00082DAD" w:rsidP="00D91308">
            <w:pPr>
              <w:pStyle w:val="Default"/>
              <w:ind w:right="244"/>
              <w:jc w:val="thaiDistribute"/>
              <w:rPr>
                <w:b/>
                <w:bCs/>
                <w:i/>
                <w:iCs/>
                <w:color w:val="000000" w:themeColor="text1"/>
                <w:sz w:val="12"/>
                <w:szCs w:val="12"/>
              </w:rPr>
            </w:pPr>
          </w:p>
          <w:p w14:paraId="2CDE6357" w14:textId="3FC094EF" w:rsidR="00082DAD" w:rsidRPr="009862D7" w:rsidRDefault="00082DAD" w:rsidP="00D91308">
            <w:pPr>
              <w:pStyle w:val="Default"/>
              <w:ind w:right="244"/>
              <w:jc w:val="thaiDistribute"/>
              <w:rPr>
                <w:b/>
                <w:bCs/>
                <w:i/>
                <w:iCs/>
                <w:color w:val="000000" w:themeColor="text1"/>
                <w:sz w:val="20"/>
                <w:szCs w:val="20"/>
              </w:rPr>
            </w:pPr>
            <w:r w:rsidRPr="009862D7">
              <w:rPr>
                <w:rFonts w:cs="Browallia New"/>
                <w:b/>
                <w:bCs/>
                <w:i/>
                <w:iCs/>
                <w:color w:val="000000" w:themeColor="text1"/>
                <w:sz w:val="20"/>
                <w:szCs w:val="25"/>
                <w:lang w:val="en-US"/>
              </w:rPr>
              <w:t>Fair value measurement</w:t>
            </w:r>
            <w:r w:rsidRPr="009862D7">
              <w:rPr>
                <w:b/>
                <w:bCs/>
                <w:i/>
                <w:iCs/>
                <w:color w:val="000000" w:themeColor="text1"/>
                <w:sz w:val="20"/>
                <w:szCs w:val="20"/>
              </w:rPr>
              <w:t xml:space="preserve"> of investment</w:t>
            </w:r>
            <w:r w:rsidR="007C1739" w:rsidRPr="009862D7">
              <w:rPr>
                <w:b/>
                <w:bCs/>
                <w:i/>
                <w:iCs/>
                <w:color w:val="000000" w:themeColor="text1"/>
                <w:sz w:val="20"/>
                <w:szCs w:val="20"/>
              </w:rPr>
              <w:t>s</w:t>
            </w:r>
            <w:r w:rsidRPr="009862D7">
              <w:rPr>
                <w:b/>
                <w:bCs/>
                <w:i/>
                <w:iCs/>
                <w:color w:val="000000" w:themeColor="text1"/>
                <w:sz w:val="20"/>
                <w:szCs w:val="20"/>
              </w:rPr>
              <w:t xml:space="preserve"> </w:t>
            </w:r>
            <w:r w:rsidR="007C1739" w:rsidRPr="009862D7">
              <w:rPr>
                <w:b/>
                <w:bCs/>
                <w:i/>
                <w:iCs/>
                <w:color w:val="000000" w:themeColor="text1"/>
                <w:sz w:val="20"/>
                <w:szCs w:val="20"/>
              </w:rPr>
              <w:br/>
            </w:r>
            <w:r w:rsidRPr="009862D7">
              <w:rPr>
                <w:b/>
                <w:bCs/>
                <w:i/>
                <w:iCs/>
                <w:color w:val="000000" w:themeColor="text1"/>
                <w:sz w:val="20"/>
                <w:szCs w:val="20"/>
              </w:rPr>
              <w:t>in equity instrument</w:t>
            </w:r>
            <w:r w:rsidR="007C1739" w:rsidRPr="009862D7">
              <w:rPr>
                <w:b/>
                <w:bCs/>
                <w:i/>
                <w:iCs/>
                <w:color w:val="000000" w:themeColor="text1"/>
                <w:sz w:val="20"/>
                <w:szCs w:val="20"/>
              </w:rPr>
              <w:t>s</w:t>
            </w:r>
          </w:p>
          <w:p w14:paraId="6A95CC35" w14:textId="77777777" w:rsidR="00082DAD" w:rsidRPr="00B5198A" w:rsidRDefault="00082DAD" w:rsidP="00D91308">
            <w:pPr>
              <w:pStyle w:val="Default"/>
              <w:ind w:right="244"/>
              <w:jc w:val="thaiDistribute"/>
              <w:rPr>
                <w:b/>
                <w:bCs/>
                <w:color w:val="000000" w:themeColor="text1"/>
                <w:sz w:val="12"/>
                <w:szCs w:val="12"/>
              </w:rPr>
            </w:pPr>
          </w:p>
        </w:tc>
        <w:tc>
          <w:tcPr>
            <w:tcW w:w="4875" w:type="dxa"/>
            <w:tcBorders>
              <w:top w:val="dotted" w:sz="4" w:space="0" w:color="ED8731"/>
            </w:tcBorders>
            <w:shd w:val="clear" w:color="auto" w:fill="FAFAFA"/>
          </w:tcPr>
          <w:p w14:paraId="0FC7F1A9" w14:textId="77777777" w:rsidR="00082DAD" w:rsidRPr="002757B2" w:rsidRDefault="00082DAD" w:rsidP="00D91308">
            <w:pPr>
              <w:pStyle w:val="Default"/>
              <w:jc w:val="thaiDistribute"/>
              <w:rPr>
                <w:color w:val="000000" w:themeColor="text1"/>
                <w:sz w:val="20"/>
                <w:szCs w:val="20"/>
              </w:rPr>
            </w:pPr>
          </w:p>
        </w:tc>
      </w:tr>
      <w:tr w:rsidR="00082DAD" w:rsidRPr="002757B2" w14:paraId="7A94DD0B" w14:textId="77777777" w:rsidTr="00B5198A">
        <w:tc>
          <w:tcPr>
            <w:tcW w:w="4395" w:type="dxa"/>
            <w:shd w:val="clear" w:color="auto" w:fill="auto"/>
          </w:tcPr>
          <w:p w14:paraId="6F16094C" w14:textId="118B580F" w:rsidR="00082DAD" w:rsidRPr="00B5198A" w:rsidRDefault="00082DAD" w:rsidP="00B5198A">
            <w:pPr>
              <w:pStyle w:val="Default"/>
              <w:ind w:right="244"/>
              <w:jc w:val="thaiDistribute"/>
              <w:rPr>
                <w:color w:val="000000" w:themeColor="text1"/>
                <w:sz w:val="20"/>
                <w:szCs w:val="20"/>
              </w:rPr>
            </w:pPr>
            <w:r w:rsidRPr="00A1411C">
              <w:rPr>
                <w:color w:val="auto"/>
                <w:sz w:val="20"/>
                <w:szCs w:val="20"/>
              </w:rPr>
              <w:t xml:space="preserve">Refer to Note </w:t>
            </w:r>
            <w:r w:rsidR="00A366A9" w:rsidRPr="00A366A9">
              <w:rPr>
                <w:color w:val="auto"/>
                <w:sz w:val="20"/>
                <w:szCs w:val="20"/>
              </w:rPr>
              <w:t>18</w:t>
            </w:r>
            <w:r w:rsidRPr="00A1411C">
              <w:rPr>
                <w:color w:val="auto"/>
                <w:sz w:val="20"/>
                <w:szCs w:val="20"/>
              </w:rPr>
              <w:t xml:space="preserve"> Financial assets measured at fair value through other comprehensive income</w:t>
            </w:r>
            <w:r w:rsidR="004566F3" w:rsidRPr="00A1411C">
              <w:rPr>
                <w:color w:val="auto"/>
                <w:sz w:val="20"/>
                <w:szCs w:val="20"/>
              </w:rPr>
              <w:t>,</w:t>
            </w:r>
            <w:r w:rsidRPr="00A1411C">
              <w:rPr>
                <w:color w:val="auto"/>
                <w:sz w:val="20"/>
                <w:szCs w:val="20"/>
              </w:rPr>
              <w:t xml:space="preserve"> </w:t>
            </w:r>
            <w:r w:rsidR="004566F3" w:rsidRPr="00A1411C">
              <w:rPr>
                <w:color w:val="auto"/>
                <w:sz w:val="20"/>
                <w:szCs w:val="20"/>
              </w:rPr>
              <w:t>a</w:t>
            </w:r>
            <w:r w:rsidRPr="00A1411C">
              <w:rPr>
                <w:color w:val="auto"/>
                <w:sz w:val="20"/>
                <w:szCs w:val="20"/>
              </w:rPr>
              <w:t xml:space="preserve">s at </w:t>
            </w:r>
            <w:r w:rsidR="00A366A9" w:rsidRPr="00A366A9">
              <w:rPr>
                <w:color w:val="auto"/>
                <w:sz w:val="20"/>
                <w:szCs w:val="20"/>
              </w:rPr>
              <w:t>31</w:t>
            </w:r>
            <w:r w:rsidRPr="00A1411C">
              <w:rPr>
                <w:color w:val="auto"/>
                <w:sz w:val="20"/>
                <w:szCs w:val="20"/>
              </w:rPr>
              <w:t xml:space="preserve"> December </w:t>
            </w:r>
            <w:r w:rsidR="00A366A9" w:rsidRPr="00A366A9">
              <w:rPr>
                <w:color w:val="auto"/>
                <w:sz w:val="20"/>
                <w:szCs w:val="20"/>
              </w:rPr>
              <w:t>2023</w:t>
            </w:r>
            <w:r w:rsidRPr="00A1411C">
              <w:rPr>
                <w:color w:val="auto"/>
                <w:sz w:val="20"/>
                <w:szCs w:val="20"/>
              </w:rPr>
              <w:t xml:space="preserve">, the Group </w:t>
            </w:r>
            <w:r w:rsidR="00927247" w:rsidRPr="00A1411C">
              <w:rPr>
                <w:color w:val="auto"/>
                <w:spacing w:val="-4"/>
                <w:sz w:val="20"/>
                <w:szCs w:val="20"/>
              </w:rPr>
              <w:t>recognised</w:t>
            </w:r>
            <w:r w:rsidRPr="00A1411C">
              <w:rPr>
                <w:color w:val="auto"/>
                <w:spacing w:val="-4"/>
                <w:sz w:val="20"/>
                <w:szCs w:val="20"/>
              </w:rPr>
              <w:t xml:space="preserve"> investment</w:t>
            </w:r>
            <w:r w:rsidR="00F637DD" w:rsidRPr="00A1411C">
              <w:rPr>
                <w:color w:val="auto"/>
                <w:spacing w:val="-4"/>
                <w:sz w:val="20"/>
                <w:szCs w:val="20"/>
              </w:rPr>
              <w:t>s</w:t>
            </w:r>
            <w:r w:rsidRPr="00A1411C">
              <w:rPr>
                <w:color w:val="auto"/>
                <w:spacing w:val="-4"/>
                <w:sz w:val="20"/>
                <w:szCs w:val="20"/>
              </w:rPr>
              <w:t xml:space="preserve"> in equity instrument</w:t>
            </w:r>
            <w:r w:rsidR="00927247" w:rsidRPr="00A1411C">
              <w:rPr>
                <w:color w:val="auto"/>
                <w:spacing w:val="-4"/>
                <w:sz w:val="20"/>
                <w:szCs w:val="20"/>
              </w:rPr>
              <w:t>s</w:t>
            </w:r>
            <w:r w:rsidRPr="00A1411C">
              <w:rPr>
                <w:color w:val="auto"/>
                <w:sz w:val="20"/>
                <w:szCs w:val="20"/>
              </w:rPr>
              <w:t xml:space="preserve"> of </w:t>
            </w:r>
            <w:r w:rsidRPr="00A1411C">
              <w:rPr>
                <w:color w:val="auto"/>
                <w:spacing w:val="-4"/>
                <w:sz w:val="20"/>
                <w:szCs w:val="20"/>
              </w:rPr>
              <w:t>non-listed compan</w:t>
            </w:r>
            <w:r w:rsidR="00927247" w:rsidRPr="00A1411C">
              <w:rPr>
                <w:color w:val="auto"/>
                <w:spacing w:val="-4"/>
                <w:sz w:val="20"/>
                <w:szCs w:val="20"/>
              </w:rPr>
              <w:t>ies</w:t>
            </w:r>
            <w:r w:rsidRPr="00A1411C">
              <w:rPr>
                <w:color w:val="auto"/>
                <w:spacing w:val="-4"/>
                <w:sz w:val="20"/>
                <w:szCs w:val="20"/>
              </w:rPr>
              <w:t xml:space="preserve"> of Baht </w:t>
            </w:r>
            <w:r w:rsidR="00A366A9" w:rsidRPr="00A366A9">
              <w:rPr>
                <w:color w:val="auto"/>
                <w:sz w:val="20"/>
                <w:szCs w:val="20"/>
              </w:rPr>
              <w:t>4</w:t>
            </w:r>
            <w:r w:rsidR="00CA1C5C">
              <w:rPr>
                <w:color w:val="auto"/>
                <w:sz w:val="20"/>
                <w:szCs w:val="20"/>
              </w:rPr>
              <w:t>,</w:t>
            </w:r>
            <w:r w:rsidR="00A366A9" w:rsidRPr="00A366A9">
              <w:rPr>
                <w:color w:val="auto"/>
                <w:sz w:val="20"/>
                <w:szCs w:val="20"/>
              </w:rPr>
              <w:t>891</w:t>
            </w:r>
            <w:r w:rsidR="00026EFC" w:rsidRPr="00A1411C">
              <w:rPr>
                <w:color w:val="auto"/>
                <w:sz w:val="20"/>
                <w:szCs w:val="20"/>
              </w:rPr>
              <w:t xml:space="preserve"> </w:t>
            </w:r>
            <w:r w:rsidRPr="00A1411C">
              <w:rPr>
                <w:color w:val="auto"/>
                <w:spacing w:val="-4"/>
                <w:sz w:val="20"/>
                <w:szCs w:val="20"/>
              </w:rPr>
              <w:t>million</w:t>
            </w:r>
            <w:r w:rsidRPr="00A1411C">
              <w:rPr>
                <w:color w:val="auto"/>
                <w:sz w:val="20"/>
                <w:szCs w:val="20"/>
              </w:rPr>
              <w:t xml:space="preserve">, which represents </w:t>
            </w:r>
            <w:r w:rsidR="00A366A9" w:rsidRPr="00A366A9">
              <w:rPr>
                <w:color w:val="auto"/>
                <w:sz w:val="20"/>
                <w:szCs w:val="20"/>
              </w:rPr>
              <w:t>4</w:t>
            </w:r>
            <w:r w:rsidR="00CA1C5C">
              <w:rPr>
                <w:color w:val="auto"/>
                <w:sz w:val="20"/>
                <w:szCs w:val="20"/>
              </w:rPr>
              <w:t>.</w:t>
            </w:r>
            <w:r w:rsidR="00A366A9" w:rsidRPr="00A366A9">
              <w:rPr>
                <w:color w:val="auto"/>
                <w:sz w:val="20"/>
                <w:szCs w:val="20"/>
              </w:rPr>
              <w:t>2</w:t>
            </w:r>
            <w:r w:rsidR="00582E8B">
              <w:rPr>
                <w:rFonts w:cs="Browallia New"/>
                <w:color w:val="auto"/>
                <w:sz w:val="20"/>
                <w:szCs w:val="25"/>
              </w:rPr>
              <w:t>8</w:t>
            </w:r>
            <w:r w:rsidRPr="00A1411C">
              <w:rPr>
                <w:color w:val="auto"/>
                <w:sz w:val="20"/>
                <w:szCs w:val="20"/>
              </w:rPr>
              <w:t xml:space="preserve">% of the </w:t>
            </w:r>
            <w:r w:rsidR="00927247" w:rsidRPr="00A1411C">
              <w:rPr>
                <w:color w:val="auto"/>
                <w:sz w:val="20"/>
                <w:szCs w:val="20"/>
              </w:rPr>
              <w:t>total</w:t>
            </w:r>
            <w:r w:rsidRPr="00A1411C">
              <w:rPr>
                <w:color w:val="auto"/>
                <w:sz w:val="20"/>
                <w:szCs w:val="20"/>
              </w:rPr>
              <w:t xml:space="preserve"> assets</w:t>
            </w:r>
            <w:r w:rsidR="00927247" w:rsidRPr="00A1411C">
              <w:rPr>
                <w:color w:val="auto"/>
                <w:sz w:val="20"/>
                <w:szCs w:val="20"/>
              </w:rPr>
              <w:t xml:space="preserve"> </w:t>
            </w:r>
            <w:r w:rsidR="00956D4E">
              <w:rPr>
                <w:rFonts w:cstheme="minorBidi"/>
                <w:color w:val="auto"/>
                <w:sz w:val="20"/>
                <w:szCs w:val="20"/>
                <w:cs/>
              </w:rPr>
              <w:br/>
            </w:r>
            <w:r w:rsidR="00927247" w:rsidRPr="00A1411C">
              <w:rPr>
                <w:color w:val="auto"/>
                <w:sz w:val="20"/>
                <w:szCs w:val="20"/>
              </w:rPr>
              <w:t xml:space="preserve">in </w:t>
            </w:r>
            <w:r w:rsidR="00927247" w:rsidRPr="00956D4E">
              <w:rPr>
                <w:color w:val="auto"/>
                <w:sz w:val="20"/>
                <w:szCs w:val="20"/>
              </w:rPr>
              <w:t>the consolidated financial statements</w:t>
            </w:r>
            <w:r w:rsidRPr="00956D4E">
              <w:rPr>
                <w:color w:val="auto"/>
                <w:sz w:val="20"/>
                <w:szCs w:val="20"/>
              </w:rPr>
              <w:t>.</w:t>
            </w:r>
            <w:r w:rsidR="00927247" w:rsidRPr="00956D4E">
              <w:rPr>
                <w:color w:val="auto"/>
                <w:sz w:val="20"/>
                <w:szCs w:val="20"/>
              </w:rPr>
              <w:t xml:space="preserve"> </w:t>
            </w:r>
            <w:r w:rsidR="00956D4E">
              <w:rPr>
                <w:rFonts w:cstheme="minorBidi"/>
                <w:color w:val="auto"/>
                <w:sz w:val="20"/>
                <w:szCs w:val="20"/>
                <w:cs/>
              </w:rPr>
              <w:br/>
            </w:r>
            <w:r w:rsidR="00927247" w:rsidRPr="00956D4E">
              <w:rPr>
                <w:color w:val="auto"/>
                <w:sz w:val="20"/>
                <w:szCs w:val="20"/>
              </w:rPr>
              <w:t>An investment</w:t>
            </w:r>
            <w:r w:rsidR="00927247" w:rsidRPr="00A1411C">
              <w:rPr>
                <w:color w:val="auto"/>
                <w:spacing w:val="-4"/>
                <w:sz w:val="20"/>
                <w:szCs w:val="20"/>
              </w:rPr>
              <w:t xml:space="preserve"> of Baht </w:t>
            </w:r>
            <w:r w:rsidR="00A366A9" w:rsidRPr="00A366A9">
              <w:rPr>
                <w:color w:val="auto"/>
                <w:sz w:val="20"/>
                <w:szCs w:val="20"/>
              </w:rPr>
              <w:t>4</w:t>
            </w:r>
            <w:r w:rsidR="00CA1C5C">
              <w:rPr>
                <w:color w:val="auto"/>
                <w:sz w:val="20"/>
                <w:szCs w:val="20"/>
              </w:rPr>
              <w:t>,</w:t>
            </w:r>
            <w:r w:rsidR="00A366A9" w:rsidRPr="00A366A9">
              <w:rPr>
                <w:color w:val="auto"/>
                <w:sz w:val="20"/>
                <w:szCs w:val="20"/>
              </w:rPr>
              <w:t>841</w:t>
            </w:r>
            <w:r w:rsidR="00026EFC" w:rsidRPr="00A1411C">
              <w:rPr>
                <w:color w:val="auto"/>
                <w:sz w:val="20"/>
                <w:szCs w:val="20"/>
              </w:rPr>
              <w:t xml:space="preserve"> </w:t>
            </w:r>
            <w:r w:rsidR="00927247" w:rsidRPr="00A1411C">
              <w:rPr>
                <w:color w:val="auto"/>
                <w:spacing w:val="-4"/>
                <w:sz w:val="20"/>
                <w:szCs w:val="20"/>
              </w:rPr>
              <w:t xml:space="preserve">million is an investment </w:t>
            </w:r>
            <w:r w:rsidR="00927247" w:rsidRPr="00A1411C">
              <w:rPr>
                <w:color w:val="auto"/>
                <w:sz w:val="20"/>
                <w:szCs w:val="20"/>
              </w:rPr>
              <w:t>in</w:t>
            </w:r>
            <w:r w:rsidR="00CA1C5C">
              <w:rPr>
                <w:color w:val="auto"/>
                <w:sz w:val="20"/>
                <w:szCs w:val="20"/>
              </w:rPr>
              <w:t xml:space="preserve"> </w:t>
            </w:r>
            <w:r w:rsidRPr="00A1411C">
              <w:rPr>
                <w:color w:val="auto"/>
                <w:sz w:val="20"/>
                <w:szCs w:val="20"/>
              </w:rPr>
              <w:t>the business of property development</w:t>
            </w:r>
            <w:r w:rsidR="00927247" w:rsidRPr="00A1411C">
              <w:rPr>
                <w:color w:val="auto"/>
                <w:sz w:val="20"/>
                <w:szCs w:val="20"/>
              </w:rPr>
              <w:t xml:space="preserve"> (the investment)</w:t>
            </w:r>
            <w:r w:rsidRPr="00A1411C">
              <w:rPr>
                <w:color w:val="auto"/>
                <w:sz w:val="20"/>
                <w:szCs w:val="20"/>
              </w:rPr>
              <w:t xml:space="preserve">. The Group determined that this investment is an investment in an equity instrument under the scope of TAS </w:t>
            </w:r>
            <w:r w:rsidR="00A366A9" w:rsidRPr="00A366A9">
              <w:rPr>
                <w:color w:val="auto"/>
                <w:sz w:val="20"/>
                <w:szCs w:val="20"/>
              </w:rPr>
              <w:t>32</w:t>
            </w:r>
            <w:r w:rsidRPr="00A1411C">
              <w:rPr>
                <w:color w:val="auto"/>
                <w:sz w:val="20"/>
                <w:szCs w:val="20"/>
              </w:rPr>
              <w:t xml:space="preserve"> “</w:t>
            </w:r>
            <w:r w:rsidRPr="00A1411C">
              <w:rPr>
                <w:rFonts w:cs="Browallia New"/>
                <w:color w:val="auto"/>
                <w:sz w:val="20"/>
                <w:szCs w:val="25"/>
              </w:rPr>
              <w:t>Financial Instruments: Presentation</w:t>
            </w:r>
            <w:r w:rsidRPr="00B5198A">
              <w:rPr>
                <w:rFonts w:cs="Browallia New"/>
                <w:sz w:val="20"/>
                <w:szCs w:val="25"/>
              </w:rPr>
              <w:t xml:space="preserve">” and requires subsequent measurement to fair value under the scope </w:t>
            </w:r>
            <w:r w:rsidRPr="00B5198A">
              <w:rPr>
                <w:rFonts w:cs="Browallia New"/>
                <w:spacing w:val="-4"/>
                <w:sz w:val="20"/>
                <w:szCs w:val="25"/>
              </w:rPr>
              <w:t xml:space="preserve">of TFRS </w:t>
            </w:r>
            <w:r w:rsidR="00A366A9" w:rsidRPr="00A366A9">
              <w:rPr>
                <w:rFonts w:cs="Browallia New"/>
                <w:spacing w:val="-4"/>
                <w:sz w:val="20"/>
                <w:szCs w:val="25"/>
              </w:rPr>
              <w:t>9</w:t>
            </w:r>
            <w:r w:rsidRPr="00B5198A">
              <w:rPr>
                <w:rFonts w:cs="Browallia New"/>
                <w:spacing w:val="-4"/>
                <w:sz w:val="20"/>
                <w:szCs w:val="25"/>
              </w:rPr>
              <w:t xml:space="preserve"> “Financial Instruments”. The Gro</w:t>
            </w:r>
            <w:r w:rsidRPr="00B5198A">
              <w:rPr>
                <w:rFonts w:cs="Browallia New"/>
                <w:sz w:val="20"/>
                <w:szCs w:val="25"/>
              </w:rPr>
              <w:t>up irrevocably elected to account for the equity investment at fair value through other comprehensive income (FVOCI).</w:t>
            </w:r>
          </w:p>
          <w:p w14:paraId="3B6FABA9" w14:textId="77777777" w:rsidR="00082DAD" w:rsidRPr="00B5198A" w:rsidRDefault="00082DAD" w:rsidP="00B5198A">
            <w:pPr>
              <w:pStyle w:val="Default"/>
              <w:ind w:right="244"/>
              <w:jc w:val="thaiDistribute"/>
              <w:rPr>
                <w:color w:val="000000" w:themeColor="text1"/>
                <w:sz w:val="20"/>
                <w:szCs w:val="20"/>
              </w:rPr>
            </w:pPr>
          </w:p>
          <w:p w14:paraId="56F3BA74" w14:textId="3ED632A5" w:rsidR="00927247" w:rsidRPr="00A1411C" w:rsidRDefault="00927247" w:rsidP="00B5198A">
            <w:pPr>
              <w:pStyle w:val="Default"/>
              <w:ind w:right="244"/>
              <w:jc w:val="thaiDistribute"/>
              <w:rPr>
                <w:rFonts w:cstheme="minorBidi"/>
                <w:color w:val="auto"/>
                <w:spacing w:val="-4"/>
                <w:sz w:val="20"/>
                <w:szCs w:val="20"/>
                <w:lang w:val="en-US"/>
              </w:rPr>
            </w:pPr>
            <w:r w:rsidRPr="00F57F95">
              <w:rPr>
                <w:color w:val="000000" w:themeColor="text1"/>
                <w:sz w:val="20"/>
                <w:szCs w:val="20"/>
              </w:rPr>
              <w:t xml:space="preserve">The management calculates the fair value of </w:t>
            </w:r>
            <w:r w:rsidRPr="00927247">
              <w:rPr>
                <w:color w:val="000000" w:themeColor="text1"/>
                <w:spacing w:val="-8"/>
                <w:sz w:val="20"/>
                <w:szCs w:val="20"/>
              </w:rPr>
              <w:t>the investment by applying the income approach</w:t>
            </w:r>
            <w:r w:rsidRPr="00F57F95">
              <w:rPr>
                <w:color w:val="000000" w:themeColor="text1"/>
                <w:spacing w:val="-4"/>
                <w:sz w:val="20"/>
                <w:szCs w:val="20"/>
              </w:rPr>
              <w:t>.</w:t>
            </w:r>
            <w:r w:rsidRPr="00F57F95">
              <w:rPr>
                <w:color w:val="000000" w:themeColor="text1"/>
                <w:sz w:val="20"/>
                <w:szCs w:val="20"/>
              </w:rPr>
              <w:t xml:space="preserve"> </w:t>
            </w:r>
            <w:r w:rsidRPr="00F57F95">
              <w:rPr>
                <w:sz w:val="20"/>
                <w:szCs w:val="20"/>
              </w:rPr>
              <w:t xml:space="preserve">Fair value measurement involves </w:t>
            </w:r>
            <w:r w:rsidRPr="00927247">
              <w:rPr>
                <w:spacing w:val="-8"/>
                <w:sz w:val="20"/>
                <w:szCs w:val="20"/>
              </w:rPr>
              <w:t xml:space="preserve">significant </w:t>
            </w:r>
            <w:r w:rsidRPr="00A1411C">
              <w:rPr>
                <w:color w:val="auto"/>
                <w:spacing w:val="-8"/>
                <w:sz w:val="20"/>
                <w:szCs w:val="20"/>
              </w:rPr>
              <w:t>judgements made by the management</w:t>
            </w:r>
            <w:r w:rsidRPr="00A1411C">
              <w:rPr>
                <w:color w:val="auto"/>
                <w:sz w:val="20"/>
                <w:szCs w:val="20"/>
              </w:rPr>
              <w:t xml:space="preserve"> in </w:t>
            </w:r>
            <w:r w:rsidRPr="00A1411C">
              <w:rPr>
                <w:color w:val="auto"/>
                <w:spacing w:val="-6"/>
                <w:sz w:val="20"/>
                <w:szCs w:val="20"/>
              </w:rPr>
              <w:t>respect to the future operating results, projected</w:t>
            </w:r>
            <w:r w:rsidRPr="00A1411C">
              <w:rPr>
                <w:color w:val="auto"/>
                <w:sz w:val="20"/>
                <w:szCs w:val="20"/>
              </w:rPr>
              <w:t xml:space="preserve"> cash flows and the appropriate discount rate </w:t>
            </w:r>
            <w:r w:rsidRPr="00A1411C">
              <w:rPr>
                <w:color w:val="auto"/>
                <w:sz w:val="20"/>
                <w:szCs w:val="20"/>
              </w:rPr>
              <w:br/>
              <w:t xml:space="preserve">to be applied to the projected cash flows. Key assumptions applied in determining the fair value are the growth rate of the land price, </w:t>
            </w:r>
            <w:r w:rsidRPr="008703DF">
              <w:rPr>
                <w:color w:val="auto"/>
                <w:spacing w:val="-8"/>
                <w:sz w:val="20"/>
                <w:szCs w:val="20"/>
              </w:rPr>
              <w:t>projected revenue, capital expenditure, operating</w:t>
            </w:r>
            <w:r w:rsidRPr="00A1411C">
              <w:rPr>
                <w:color w:val="auto"/>
                <w:sz w:val="20"/>
                <w:szCs w:val="20"/>
              </w:rPr>
              <w:t xml:space="preserve"> expenditure, capital structure and discount rate applied to the projected cash flows</w:t>
            </w:r>
            <w:r w:rsidRPr="00A1411C">
              <w:rPr>
                <w:color w:val="auto"/>
                <w:spacing w:val="-4"/>
                <w:sz w:val="20"/>
                <w:szCs w:val="20"/>
              </w:rPr>
              <w:t>. The result of calculation</w:t>
            </w:r>
            <w:r w:rsidRPr="00A1411C">
              <w:rPr>
                <w:color w:val="auto"/>
                <w:sz w:val="20"/>
                <w:szCs w:val="20"/>
              </w:rPr>
              <w:t xml:space="preserve"> indicates that the fair value is </w:t>
            </w:r>
            <w:r w:rsidR="00D151A3">
              <w:rPr>
                <w:rFonts w:cs="Browallia New"/>
                <w:color w:val="auto"/>
                <w:sz w:val="20"/>
                <w:szCs w:val="25"/>
              </w:rPr>
              <w:t>less</w:t>
            </w:r>
            <w:r w:rsidRPr="00A1411C">
              <w:rPr>
                <w:color w:val="auto"/>
                <w:sz w:val="20"/>
                <w:szCs w:val="20"/>
              </w:rPr>
              <w:t xml:space="preserve"> than </w:t>
            </w:r>
            <w:r w:rsidR="004566F3" w:rsidRPr="00A1411C">
              <w:rPr>
                <w:color w:val="auto"/>
                <w:sz w:val="20"/>
                <w:szCs w:val="20"/>
              </w:rPr>
              <w:t>its carrying amount</w:t>
            </w:r>
            <w:r w:rsidR="00FD2079" w:rsidRPr="00A1411C">
              <w:rPr>
                <w:color w:val="auto"/>
                <w:spacing w:val="-4"/>
                <w:sz w:val="20"/>
                <w:szCs w:val="20"/>
              </w:rPr>
              <w:t xml:space="preserve"> as at </w:t>
            </w:r>
            <w:r w:rsidR="00945B39">
              <w:rPr>
                <w:color w:val="auto"/>
                <w:spacing w:val="-4"/>
                <w:sz w:val="20"/>
                <w:szCs w:val="20"/>
              </w:rPr>
              <w:br/>
            </w:r>
            <w:r w:rsidR="00A366A9" w:rsidRPr="00A366A9">
              <w:rPr>
                <w:color w:val="auto"/>
                <w:spacing w:val="-4"/>
                <w:sz w:val="20"/>
                <w:szCs w:val="20"/>
              </w:rPr>
              <w:t>31</w:t>
            </w:r>
            <w:r w:rsidR="00FD2079" w:rsidRPr="00A1411C">
              <w:rPr>
                <w:color w:val="auto"/>
                <w:spacing w:val="-4"/>
                <w:sz w:val="20"/>
                <w:szCs w:val="20"/>
              </w:rPr>
              <w:t xml:space="preserve"> December </w:t>
            </w:r>
            <w:r w:rsidR="00A366A9" w:rsidRPr="00A366A9">
              <w:rPr>
                <w:color w:val="auto"/>
                <w:spacing w:val="-4"/>
                <w:sz w:val="20"/>
                <w:szCs w:val="20"/>
              </w:rPr>
              <w:t>2023</w:t>
            </w:r>
            <w:r w:rsidRPr="00A1411C">
              <w:rPr>
                <w:color w:val="auto"/>
                <w:spacing w:val="-4"/>
                <w:sz w:val="20"/>
                <w:szCs w:val="20"/>
              </w:rPr>
              <w:t>. Therefore, the Group</w:t>
            </w:r>
            <w:r w:rsidRPr="00A1411C">
              <w:rPr>
                <w:color w:val="auto"/>
                <w:sz w:val="20"/>
                <w:szCs w:val="20"/>
              </w:rPr>
              <w:t xml:space="preserve"> </w:t>
            </w:r>
            <w:r w:rsidRPr="00A1411C">
              <w:rPr>
                <w:color w:val="auto"/>
                <w:spacing w:val="-6"/>
                <w:sz w:val="20"/>
                <w:szCs w:val="20"/>
              </w:rPr>
              <w:t xml:space="preserve">recognised a </w:t>
            </w:r>
            <w:r w:rsidR="00D151A3">
              <w:rPr>
                <w:rFonts w:cs="Browallia New"/>
                <w:color w:val="auto"/>
                <w:spacing w:val="-6"/>
                <w:sz w:val="20"/>
                <w:szCs w:val="25"/>
              </w:rPr>
              <w:t>loss</w:t>
            </w:r>
            <w:r w:rsidRPr="00A1411C">
              <w:rPr>
                <w:color w:val="auto"/>
                <w:spacing w:val="-6"/>
                <w:sz w:val="20"/>
                <w:szCs w:val="20"/>
              </w:rPr>
              <w:t xml:space="preserve"> through other comprehensive</w:t>
            </w:r>
            <w:r w:rsidRPr="00A1411C">
              <w:rPr>
                <w:color w:val="auto"/>
                <w:sz w:val="20"/>
                <w:szCs w:val="20"/>
              </w:rPr>
              <w:t xml:space="preserve"> income net of tax amounting to Baht </w:t>
            </w:r>
            <w:r w:rsidR="00713570">
              <w:rPr>
                <w:color w:val="auto"/>
                <w:sz w:val="20"/>
                <w:szCs w:val="20"/>
              </w:rPr>
              <w:t>223</w:t>
            </w:r>
            <w:r w:rsidR="00CA1C5C">
              <w:rPr>
                <w:color w:val="auto"/>
                <w:sz w:val="20"/>
                <w:szCs w:val="20"/>
              </w:rPr>
              <w:t xml:space="preserve"> </w:t>
            </w:r>
            <w:r w:rsidRPr="00A1411C">
              <w:rPr>
                <w:color w:val="auto"/>
                <w:sz w:val="20"/>
                <w:szCs w:val="20"/>
              </w:rPr>
              <w:t xml:space="preserve">million in the </w:t>
            </w:r>
            <w:r w:rsidR="00A366A9" w:rsidRPr="00A366A9">
              <w:rPr>
                <w:color w:val="auto"/>
                <w:sz w:val="20"/>
                <w:szCs w:val="20"/>
              </w:rPr>
              <w:t>2023</w:t>
            </w:r>
            <w:r w:rsidRPr="00A1411C">
              <w:rPr>
                <w:color w:val="auto"/>
                <w:sz w:val="20"/>
                <w:szCs w:val="20"/>
              </w:rPr>
              <w:t xml:space="preserve"> consolidated financial statements</w:t>
            </w:r>
            <w:r w:rsidR="006A5938" w:rsidRPr="00A1411C">
              <w:rPr>
                <w:color w:val="auto"/>
                <w:sz w:val="20"/>
                <w:szCs w:val="20"/>
              </w:rPr>
              <w:t>.</w:t>
            </w:r>
          </w:p>
          <w:p w14:paraId="70174B67" w14:textId="77777777" w:rsidR="00927247" w:rsidRPr="00A1411C" w:rsidRDefault="00927247" w:rsidP="00B5198A">
            <w:pPr>
              <w:pStyle w:val="Default"/>
              <w:ind w:right="244"/>
              <w:jc w:val="thaiDistribute"/>
              <w:rPr>
                <w:rFonts w:cstheme="minorBidi"/>
                <w:color w:val="auto"/>
                <w:spacing w:val="-4"/>
                <w:sz w:val="20"/>
                <w:szCs w:val="20"/>
              </w:rPr>
            </w:pPr>
          </w:p>
          <w:p w14:paraId="0A485943" w14:textId="2FEE8D99" w:rsidR="00082DAD" w:rsidRPr="00B5198A" w:rsidRDefault="006D623A" w:rsidP="00B5198A">
            <w:pPr>
              <w:pStyle w:val="Default"/>
              <w:ind w:right="244"/>
              <w:jc w:val="thaiDistribute"/>
              <w:rPr>
                <w:rFonts w:cstheme="minorBidi"/>
                <w:color w:val="000000" w:themeColor="text1"/>
                <w:sz w:val="20"/>
                <w:szCs w:val="20"/>
                <w:lang w:val="en-US"/>
              </w:rPr>
            </w:pPr>
            <w:r w:rsidRPr="00A1411C">
              <w:rPr>
                <w:color w:val="auto"/>
                <w:sz w:val="20"/>
                <w:szCs w:val="20"/>
              </w:rPr>
              <w:t xml:space="preserve">I focussed on the fair value measurement of the investment because the management applied </w:t>
            </w:r>
            <w:r w:rsidRPr="00A1411C">
              <w:rPr>
                <w:color w:val="auto"/>
                <w:spacing w:val="-4"/>
                <w:sz w:val="20"/>
                <w:szCs w:val="20"/>
              </w:rPr>
              <w:t>the income approach (the discounted cash flows)</w:t>
            </w:r>
            <w:r w:rsidRPr="00A1411C">
              <w:rPr>
                <w:color w:val="auto"/>
                <w:sz w:val="20"/>
                <w:szCs w:val="20"/>
              </w:rPr>
              <w:t xml:space="preserve"> and the model involves the management’s significant estimations and judgment to assess the projected cash flows and discount rate applied </w:t>
            </w:r>
            <w:r w:rsidRPr="00F57F95">
              <w:rPr>
                <w:color w:val="000000" w:themeColor="text1"/>
                <w:sz w:val="20"/>
                <w:szCs w:val="20"/>
              </w:rPr>
              <w:t>for the projected cash flows</w:t>
            </w:r>
            <w:r w:rsidR="00082DAD" w:rsidRPr="00B5198A">
              <w:rPr>
                <w:rFonts w:cstheme="minorBidi"/>
                <w:color w:val="000000" w:themeColor="text1"/>
                <w:sz w:val="20"/>
                <w:szCs w:val="20"/>
                <w:lang w:val="en-US"/>
              </w:rPr>
              <w:t>.</w:t>
            </w:r>
          </w:p>
        </w:tc>
        <w:tc>
          <w:tcPr>
            <w:tcW w:w="4875" w:type="dxa"/>
            <w:shd w:val="clear" w:color="auto" w:fill="FAFAFA"/>
          </w:tcPr>
          <w:p w14:paraId="149518BD" w14:textId="1032AC9B" w:rsidR="00082DAD" w:rsidRPr="00B5198A" w:rsidRDefault="00082DAD" w:rsidP="00B5198A">
            <w:pPr>
              <w:pStyle w:val="Default"/>
              <w:jc w:val="thaiDistribute"/>
              <w:rPr>
                <w:sz w:val="20"/>
                <w:szCs w:val="20"/>
              </w:rPr>
            </w:pPr>
            <w:r w:rsidRPr="00B5198A">
              <w:rPr>
                <w:spacing w:val="-4"/>
                <w:sz w:val="20"/>
                <w:szCs w:val="20"/>
              </w:rPr>
              <w:t>I carried out the following procedures to obtain evidence</w:t>
            </w:r>
            <w:r w:rsidRPr="00B5198A">
              <w:rPr>
                <w:sz w:val="20"/>
                <w:szCs w:val="20"/>
              </w:rPr>
              <w:t xml:space="preserve"> </w:t>
            </w:r>
            <w:r w:rsidRPr="00B5198A">
              <w:rPr>
                <w:sz w:val="20"/>
                <w:szCs w:val="20"/>
              </w:rPr>
              <w:br/>
              <w:t xml:space="preserve">for fair value measurement of </w:t>
            </w:r>
            <w:r w:rsidR="006D623A">
              <w:rPr>
                <w:sz w:val="20"/>
                <w:szCs w:val="20"/>
              </w:rPr>
              <w:t>the</w:t>
            </w:r>
            <w:r w:rsidRPr="00B5198A">
              <w:rPr>
                <w:sz w:val="20"/>
                <w:szCs w:val="20"/>
              </w:rPr>
              <w:t xml:space="preserve"> investment</w:t>
            </w:r>
            <w:r w:rsidR="005E0FD8">
              <w:rPr>
                <w:sz w:val="20"/>
                <w:szCs w:val="20"/>
              </w:rPr>
              <w:t xml:space="preserve"> which was prepared by the management.</w:t>
            </w:r>
          </w:p>
          <w:p w14:paraId="36E2C362" w14:textId="77777777" w:rsidR="00082DAD" w:rsidRPr="00B5198A" w:rsidRDefault="00082DAD" w:rsidP="00B5198A">
            <w:pPr>
              <w:ind w:right="-18"/>
              <w:jc w:val="thaiDistribute"/>
              <w:rPr>
                <w:rFonts w:ascii="Arial" w:hAnsi="Arial" w:cs="Arial"/>
                <w:color w:val="000000"/>
                <w:sz w:val="20"/>
                <w:szCs w:val="20"/>
              </w:rPr>
            </w:pPr>
          </w:p>
          <w:p w14:paraId="0699A1B4" w14:textId="77777777" w:rsidR="00082DAD" w:rsidRPr="00B5198A" w:rsidRDefault="00082DAD" w:rsidP="00B5198A">
            <w:pPr>
              <w:pStyle w:val="ListParagraph"/>
              <w:numPr>
                <w:ilvl w:val="0"/>
                <w:numId w:val="6"/>
              </w:numPr>
              <w:ind w:left="254" w:right="-18" w:hanging="254"/>
              <w:jc w:val="both"/>
              <w:rPr>
                <w:rFonts w:ascii="Arial" w:hAnsi="Arial" w:cs="Arial"/>
                <w:sz w:val="20"/>
                <w:szCs w:val="20"/>
              </w:rPr>
            </w:pPr>
            <w:r w:rsidRPr="00B5198A">
              <w:rPr>
                <w:rFonts w:ascii="Arial" w:hAnsi="Arial" w:cs="Arial"/>
                <w:sz w:val="20"/>
                <w:szCs w:val="20"/>
              </w:rPr>
              <w:t xml:space="preserve">reviewed management's assessment that the </w:t>
            </w:r>
            <w:r w:rsidRPr="00B5198A">
              <w:rPr>
                <w:rFonts w:ascii="Arial" w:hAnsi="Arial" w:cs="Arial"/>
                <w:spacing w:val="-4"/>
                <w:sz w:val="20"/>
                <w:szCs w:val="20"/>
              </w:rPr>
              <w:t>classification of the investment should be accounted</w:t>
            </w:r>
            <w:r w:rsidRPr="00B5198A">
              <w:rPr>
                <w:rFonts w:ascii="Arial" w:hAnsi="Arial" w:cs="Arial"/>
                <w:sz w:val="20"/>
                <w:szCs w:val="20"/>
              </w:rPr>
              <w:t xml:space="preserve"> as a financial asset measured at fair value through other comprehensive income.</w:t>
            </w:r>
          </w:p>
          <w:p w14:paraId="17CC821B" w14:textId="185EB74B" w:rsidR="00082DAD" w:rsidRPr="00A1411C" w:rsidRDefault="00082DAD" w:rsidP="00B5198A">
            <w:pPr>
              <w:pStyle w:val="ListParagraph"/>
              <w:numPr>
                <w:ilvl w:val="0"/>
                <w:numId w:val="6"/>
              </w:numPr>
              <w:ind w:left="254" w:right="-18" w:hanging="254"/>
              <w:jc w:val="both"/>
              <w:rPr>
                <w:rFonts w:ascii="Arial" w:hAnsi="Arial" w:cs="Arial"/>
                <w:sz w:val="20"/>
                <w:szCs w:val="20"/>
              </w:rPr>
            </w:pPr>
            <w:r w:rsidRPr="00373230">
              <w:rPr>
                <w:rFonts w:ascii="Arial" w:hAnsi="Arial"/>
                <w:spacing w:val="-4"/>
                <w:sz w:val="20"/>
                <w:szCs w:val="20"/>
                <w:lang w:val="en-US"/>
              </w:rPr>
              <w:t xml:space="preserve">tested the calculation of fair values of </w:t>
            </w:r>
            <w:r w:rsidR="00373230" w:rsidRPr="00373230">
              <w:rPr>
                <w:rFonts w:ascii="Arial" w:hAnsi="Arial"/>
                <w:spacing w:val="-4"/>
                <w:sz w:val="20"/>
                <w:szCs w:val="20"/>
                <w:lang w:val="en-US"/>
              </w:rPr>
              <w:t xml:space="preserve">the </w:t>
            </w:r>
            <w:r w:rsidRPr="00373230">
              <w:rPr>
                <w:rFonts w:ascii="Arial" w:hAnsi="Arial"/>
                <w:spacing w:val="-4"/>
                <w:sz w:val="20"/>
                <w:szCs w:val="20"/>
                <w:lang w:val="en-US"/>
              </w:rPr>
              <w:t>investment</w:t>
            </w:r>
            <w:r w:rsidRPr="00B5198A">
              <w:rPr>
                <w:rFonts w:ascii="Arial" w:hAnsi="Arial"/>
                <w:sz w:val="20"/>
                <w:szCs w:val="20"/>
                <w:lang w:val="en-US"/>
              </w:rPr>
              <w:t xml:space="preserve"> </w:t>
            </w:r>
            <w:r w:rsidRPr="00B5198A">
              <w:rPr>
                <w:rFonts w:ascii="Arial" w:hAnsi="Arial" w:cs="Arial"/>
                <w:sz w:val="20"/>
                <w:szCs w:val="20"/>
                <w:lang w:val="en-US"/>
              </w:rPr>
              <w:t>and also challenged management’s</w:t>
            </w:r>
            <w:r w:rsidRPr="00B5198A">
              <w:rPr>
                <w:rFonts w:ascii="Arial" w:hAnsi="Arial"/>
                <w:sz w:val="20"/>
                <w:szCs w:val="20"/>
                <w:lang w:val="en-US"/>
              </w:rPr>
              <w:t xml:space="preserve"> significant assumptions applied in the future cash flows estimation (e.g. the growth rate of the land price, projected revenue, capital </w:t>
            </w:r>
            <w:r w:rsidRPr="00B5198A">
              <w:rPr>
                <w:rFonts w:ascii="Arial" w:hAnsi="Arial"/>
                <w:spacing w:val="-4"/>
                <w:sz w:val="20"/>
                <w:szCs w:val="20"/>
                <w:lang w:val="en-US"/>
              </w:rPr>
              <w:t>expenditure, operating expenditure, capital structure</w:t>
            </w:r>
            <w:r w:rsidRPr="00B5198A">
              <w:rPr>
                <w:rFonts w:ascii="Arial" w:hAnsi="Arial"/>
                <w:sz w:val="20"/>
                <w:szCs w:val="20"/>
                <w:lang w:val="en-US"/>
              </w:rPr>
              <w:t xml:space="preserve"> </w:t>
            </w:r>
            <w:r w:rsidRPr="00B5198A">
              <w:rPr>
                <w:rFonts w:ascii="Arial" w:hAnsi="Arial"/>
                <w:spacing w:val="-4"/>
                <w:sz w:val="20"/>
                <w:szCs w:val="20"/>
                <w:lang w:val="en-US"/>
              </w:rPr>
              <w:t>and discount rate) by comparing those assumptions</w:t>
            </w:r>
            <w:r w:rsidRPr="00B5198A">
              <w:rPr>
                <w:rFonts w:ascii="Arial" w:hAnsi="Arial"/>
                <w:sz w:val="20"/>
                <w:szCs w:val="20"/>
                <w:lang w:val="en-US"/>
              </w:rPr>
              <w:t xml:space="preserve"> to the underlying agreements, </w:t>
            </w:r>
            <w:r w:rsidR="00726691">
              <w:rPr>
                <w:rFonts w:ascii="Arial" w:hAnsi="Arial"/>
                <w:sz w:val="20"/>
                <w:szCs w:val="20"/>
                <w:lang w:val="en-US"/>
              </w:rPr>
              <w:t xml:space="preserve">reliable </w:t>
            </w:r>
            <w:r w:rsidRPr="00B5198A">
              <w:rPr>
                <w:rFonts w:ascii="Arial" w:hAnsi="Arial"/>
                <w:sz w:val="20"/>
                <w:szCs w:val="20"/>
                <w:lang w:val="en-US"/>
              </w:rPr>
              <w:t xml:space="preserve">external sources and the </w:t>
            </w:r>
            <w:r w:rsidRPr="00A1411C">
              <w:rPr>
                <w:rFonts w:ascii="Arial" w:hAnsi="Arial"/>
                <w:sz w:val="20"/>
                <w:szCs w:val="20"/>
                <w:lang w:val="en-US"/>
              </w:rPr>
              <w:t>approved business plan.</w:t>
            </w:r>
          </w:p>
          <w:p w14:paraId="1BA7FADC" w14:textId="31E5A416" w:rsidR="00082DAD" w:rsidRPr="00A1411C" w:rsidRDefault="00082DAD" w:rsidP="00B5198A">
            <w:pPr>
              <w:pStyle w:val="ListParagraph"/>
              <w:numPr>
                <w:ilvl w:val="0"/>
                <w:numId w:val="6"/>
              </w:numPr>
              <w:ind w:left="254" w:right="-18" w:hanging="254"/>
              <w:jc w:val="both"/>
              <w:rPr>
                <w:rFonts w:ascii="Arial" w:hAnsi="Arial" w:cs="Arial"/>
                <w:sz w:val="20"/>
                <w:szCs w:val="20"/>
              </w:rPr>
            </w:pPr>
            <w:r w:rsidRPr="00A1411C">
              <w:rPr>
                <w:rFonts w:ascii="Arial" w:hAnsi="Arial" w:cs="Arial"/>
                <w:sz w:val="20"/>
                <w:szCs w:val="20"/>
              </w:rPr>
              <w:t xml:space="preserve">assessed the reasonableness of the business plan by comparing the </w:t>
            </w:r>
            <w:r w:rsidR="00A366A9" w:rsidRPr="00A366A9">
              <w:rPr>
                <w:rFonts w:ascii="Arial" w:hAnsi="Arial" w:cs="Arial"/>
                <w:sz w:val="20"/>
                <w:szCs w:val="20"/>
              </w:rPr>
              <w:t>2023</w:t>
            </w:r>
            <w:r w:rsidRPr="00A1411C">
              <w:rPr>
                <w:rFonts w:ascii="Arial" w:hAnsi="Arial" w:cs="Arial"/>
                <w:sz w:val="20"/>
                <w:szCs w:val="20"/>
              </w:rPr>
              <w:t xml:space="preserve"> plan with actual results.</w:t>
            </w:r>
          </w:p>
          <w:p w14:paraId="3A1BDC90" w14:textId="6905F65F" w:rsidR="00E95934" w:rsidRPr="00A1411C" w:rsidRDefault="00E95934" w:rsidP="00E95934">
            <w:pPr>
              <w:pStyle w:val="ListParagraph"/>
              <w:numPr>
                <w:ilvl w:val="0"/>
                <w:numId w:val="6"/>
              </w:numPr>
              <w:ind w:left="254" w:right="-18" w:hanging="254"/>
              <w:jc w:val="thaiDistribute"/>
              <w:rPr>
                <w:rFonts w:ascii="Arial" w:hAnsi="Arial" w:cs="Arial"/>
                <w:spacing w:val="-2"/>
                <w:sz w:val="20"/>
                <w:szCs w:val="20"/>
              </w:rPr>
            </w:pPr>
            <w:r w:rsidRPr="00A1411C">
              <w:rPr>
                <w:rFonts w:ascii="Arial" w:hAnsi="Arial" w:cs="Arial"/>
                <w:sz w:val="20"/>
                <w:szCs w:val="20"/>
              </w:rPr>
              <w:t xml:space="preserve">assessed the discount rate </w:t>
            </w:r>
            <w:r w:rsidR="0024059B">
              <w:rPr>
                <w:rFonts w:ascii="Arial" w:hAnsi="Arial" w:cs="Arial"/>
                <w:sz w:val="20"/>
                <w:szCs w:val="20"/>
              </w:rPr>
              <w:t xml:space="preserve">by comparing with </w:t>
            </w:r>
            <w:r w:rsidR="00371057">
              <w:rPr>
                <w:rFonts w:ascii="Arial" w:hAnsi="Arial" w:cs="Arial"/>
                <w:sz w:val="20"/>
                <w:szCs w:val="20"/>
              </w:rPr>
              <w:t xml:space="preserve">the </w:t>
            </w:r>
            <w:r w:rsidR="00371057" w:rsidRPr="00A1411C">
              <w:rPr>
                <w:rFonts w:ascii="Arial" w:hAnsi="Arial" w:cs="Arial"/>
                <w:spacing w:val="-2"/>
                <w:sz w:val="20"/>
                <w:szCs w:val="20"/>
              </w:rPr>
              <w:t>data</w:t>
            </w:r>
            <w:r w:rsidRPr="00A1411C">
              <w:rPr>
                <w:rFonts w:ascii="Arial" w:hAnsi="Arial" w:cs="Arial"/>
                <w:spacing w:val="-2"/>
                <w:sz w:val="20"/>
                <w:szCs w:val="20"/>
              </w:rPr>
              <w:t xml:space="preserve"> from publicly availab</w:t>
            </w:r>
            <w:r w:rsidRPr="00A1411C">
              <w:rPr>
                <w:rFonts w:ascii="Arial" w:hAnsi="Arial" w:cs="Arial"/>
                <w:sz w:val="20"/>
                <w:szCs w:val="20"/>
              </w:rPr>
              <w:t xml:space="preserve">le information on other </w:t>
            </w:r>
            <w:r w:rsidRPr="00371057">
              <w:rPr>
                <w:rFonts w:ascii="Arial" w:hAnsi="Arial" w:cs="Arial"/>
                <w:spacing w:val="-4"/>
                <w:sz w:val="20"/>
                <w:szCs w:val="20"/>
              </w:rPr>
              <w:t xml:space="preserve">companies in the industry, </w:t>
            </w:r>
            <w:r w:rsidR="0024059B" w:rsidRPr="00371057">
              <w:rPr>
                <w:rFonts w:ascii="Arial" w:hAnsi="Arial" w:cs="Arial"/>
                <w:spacing w:val="-4"/>
                <w:sz w:val="20"/>
                <w:szCs w:val="20"/>
              </w:rPr>
              <w:t>and engaged the</w:t>
            </w:r>
            <w:r w:rsidRPr="00371057">
              <w:rPr>
                <w:rFonts w:ascii="Arial" w:hAnsi="Arial" w:cs="Arial"/>
                <w:spacing w:val="-4"/>
                <w:sz w:val="20"/>
                <w:szCs w:val="20"/>
              </w:rPr>
              <w:t xml:space="preserve"> auditor’s expert, to</w:t>
            </w:r>
            <w:r w:rsidR="0024059B" w:rsidRPr="00371057">
              <w:rPr>
                <w:rFonts w:ascii="Arial" w:hAnsi="Arial" w:cs="Arial"/>
                <w:spacing w:val="-4"/>
                <w:sz w:val="20"/>
                <w:szCs w:val="20"/>
              </w:rPr>
              <w:t xml:space="preserve"> independently</w:t>
            </w:r>
            <w:r w:rsidRPr="00371057">
              <w:rPr>
                <w:rFonts w:ascii="Arial" w:hAnsi="Arial" w:cs="Arial"/>
                <w:spacing w:val="-4"/>
                <w:sz w:val="20"/>
                <w:szCs w:val="20"/>
              </w:rPr>
              <w:t xml:space="preserve"> evaluate whether</w:t>
            </w:r>
            <w:r w:rsidRPr="00A1411C">
              <w:rPr>
                <w:rFonts w:ascii="Arial" w:hAnsi="Arial" w:cs="Arial"/>
                <w:spacing w:val="-4"/>
                <w:sz w:val="20"/>
                <w:szCs w:val="20"/>
              </w:rPr>
              <w:t xml:space="preserve"> the discount rate used by the management</w:t>
            </w:r>
            <w:r w:rsidRPr="00A1411C">
              <w:rPr>
                <w:rFonts w:ascii="Arial" w:hAnsi="Arial" w:cs="Arial"/>
                <w:sz w:val="20"/>
                <w:szCs w:val="20"/>
              </w:rPr>
              <w:t xml:space="preserve"> was </w:t>
            </w:r>
            <w:r w:rsidRPr="00371057">
              <w:rPr>
                <w:rFonts w:ascii="Arial" w:hAnsi="Arial" w:cs="Arial"/>
                <w:spacing w:val="-4"/>
                <w:sz w:val="20"/>
                <w:szCs w:val="20"/>
              </w:rPr>
              <w:t>within an acceptable range compared to comparable</w:t>
            </w:r>
            <w:r w:rsidRPr="00A1411C">
              <w:rPr>
                <w:rFonts w:ascii="Arial" w:hAnsi="Arial" w:cs="Arial"/>
                <w:spacing w:val="-2"/>
                <w:sz w:val="20"/>
                <w:szCs w:val="20"/>
              </w:rPr>
              <w:t xml:space="preserve"> companies in the industry.</w:t>
            </w:r>
          </w:p>
          <w:p w14:paraId="05FFDBE6" w14:textId="77777777" w:rsidR="00082DAD" w:rsidRPr="00A1411C" w:rsidRDefault="00082DAD" w:rsidP="00B5198A">
            <w:pPr>
              <w:pStyle w:val="Default"/>
              <w:jc w:val="thaiDistribute"/>
              <w:rPr>
                <w:color w:val="auto"/>
                <w:sz w:val="20"/>
                <w:szCs w:val="20"/>
              </w:rPr>
            </w:pPr>
          </w:p>
          <w:p w14:paraId="43A3B649" w14:textId="1F2BC1F9" w:rsidR="00082DAD" w:rsidRPr="00B5198A" w:rsidRDefault="00082DAD" w:rsidP="00B5198A">
            <w:pPr>
              <w:pStyle w:val="Default"/>
              <w:jc w:val="thaiDistribute"/>
              <w:rPr>
                <w:rFonts w:cstheme="minorBidi"/>
                <w:sz w:val="20"/>
                <w:szCs w:val="20"/>
              </w:rPr>
            </w:pPr>
            <w:r w:rsidRPr="00A1411C">
              <w:rPr>
                <w:color w:val="auto"/>
                <w:sz w:val="20"/>
                <w:szCs w:val="20"/>
              </w:rPr>
              <w:t xml:space="preserve">As a result of the procedures performed, I determined that the method and </w:t>
            </w:r>
            <w:r w:rsidRPr="00B5198A">
              <w:rPr>
                <w:sz w:val="20"/>
                <w:szCs w:val="20"/>
              </w:rPr>
              <w:t xml:space="preserve">assumptions applied in fair value </w:t>
            </w:r>
            <w:r w:rsidRPr="00B5198A">
              <w:rPr>
                <w:rFonts w:cstheme="minorBidi"/>
                <w:color w:val="auto"/>
                <w:spacing w:val="-4"/>
                <w:sz w:val="20"/>
                <w:szCs w:val="20"/>
              </w:rPr>
              <w:t xml:space="preserve">measurement of </w:t>
            </w:r>
            <w:r w:rsidR="00373230">
              <w:rPr>
                <w:rFonts w:cstheme="minorBidi"/>
                <w:color w:val="auto"/>
                <w:spacing w:val="-4"/>
                <w:sz w:val="20"/>
                <w:szCs w:val="20"/>
              </w:rPr>
              <w:t>the investment</w:t>
            </w:r>
            <w:r w:rsidRPr="00B5198A">
              <w:rPr>
                <w:sz w:val="20"/>
                <w:szCs w:val="20"/>
              </w:rPr>
              <w:t xml:space="preserve"> were reasonable and in line with the accounting for the fair value.</w:t>
            </w:r>
          </w:p>
        </w:tc>
      </w:tr>
      <w:tr w:rsidR="00082DAD" w:rsidRPr="00B5198A" w14:paraId="727136A6" w14:textId="77777777" w:rsidTr="00B5198A">
        <w:tc>
          <w:tcPr>
            <w:tcW w:w="4395" w:type="dxa"/>
            <w:tcBorders>
              <w:bottom w:val="single" w:sz="4" w:space="0" w:color="FFA543"/>
            </w:tcBorders>
            <w:shd w:val="clear" w:color="auto" w:fill="auto"/>
          </w:tcPr>
          <w:p w14:paraId="3BF0D69F" w14:textId="77777777" w:rsidR="00082DAD" w:rsidRPr="00B5198A" w:rsidRDefault="00082DAD" w:rsidP="00D91308">
            <w:pPr>
              <w:pStyle w:val="Default"/>
              <w:ind w:right="244"/>
              <w:jc w:val="thaiDistribute"/>
              <w:rPr>
                <w:color w:val="000000" w:themeColor="text1"/>
                <w:sz w:val="12"/>
                <w:szCs w:val="12"/>
              </w:rPr>
            </w:pPr>
          </w:p>
        </w:tc>
        <w:tc>
          <w:tcPr>
            <w:tcW w:w="4875" w:type="dxa"/>
            <w:tcBorders>
              <w:bottom w:val="single" w:sz="4" w:space="0" w:color="FFA543"/>
            </w:tcBorders>
            <w:shd w:val="clear" w:color="auto" w:fill="FAFAFA"/>
          </w:tcPr>
          <w:p w14:paraId="216673B2" w14:textId="77777777" w:rsidR="00082DAD" w:rsidRPr="00B5198A" w:rsidRDefault="00082DAD" w:rsidP="00D91308">
            <w:pPr>
              <w:pStyle w:val="Default"/>
              <w:jc w:val="thaiDistribute"/>
              <w:rPr>
                <w:color w:val="000000" w:themeColor="text1"/>
                <w:sz w:val="12"/>
                <w:szCs w:val="12"/>
              </w:rPr>
            </w:pPr>
          </w:p>
        </w:tc>
      </w:tr>
    </w:tbl>
    <w:p w14:paraId="1AC47FD3" w14:textId="77777777" w:rsidR="00BF0E45" w:rsidRPr="002757B2" w:rsidRDefault="00BF0E45" w:rsidP="00240078">
      <w:pPr>
        <w:pStyle w:val="Header"/>
        <w:jc w:val="both"/>
        <w:rPr>
          <w:rFonts w:ascii="Arial" w:hAnsi="Arial" w:cs="Arial"/>
          <w:b/>
          <w:bCs/>
          <w:color w:val="000000" w:themeColor="text1"/>
          <w:sz w:val="20"/>
          <w:szCs w:val="20"/>
        </w:rPr>
      </w:pPr>
    </w:p>
    <w:p w14:paraId="7F688516" w14:textId="77777777" w:rsidR="00BF0E45" w:rsidRDefault="00BF0E45">
      <w:pPr>
        <w:rPr>
          <w:rFonts w:ascii="Arial" w:eastAsia="Calibri" w:hAnsi="Arial" w:cs="Arial"/>
          <w:b/>
          <w:bCs/>
          <w:color w:val="CF4A02"/>
          <w:sz w:val="20"/>
          <w:szCs w:val="20"/>
        </w:rPr>
      </w:pPr>
      <w:r>
        <w:rPr>
          <w:rFonts w:eastAsia="Calibri"/>
          <w:b/>
          <w:bCs/>
          <w:color w:val="CF4A02"/>
          <w:sz w:val="20"/>
          <w:szCs w:val="20"/>
        </w:rPr>
        <w:br w:type="page"/>
      </w:r>
    </w:p>
    <w:p w14:paraId="67C6891D" w14:textId="77777777" w:rsidR="005B49D6" w:rsidRPr="00FA45D7" w:rsidRDefault="00E07F94" w:rsidP="00F67AF3">
      <w:pPr>
        <w:pStyle w:val="Default"/>
        <w:jc w:val="thaiDistribute"/>
        <w:rPr>
          <w:rFonts w:eastAsia="Calibri" w:cstheme="minorBidi"/>
          <w:b/>
          <w:bCs/>
          <w:color w:val="CF4A02"/>
          <w:sz w:val="20"/>
          <w:szCs w:val="20"/>
        </w:rPr>
      </w:pPr>
      <w:r w:rsidRPr="002757B2">
        <w:rPr>
          <w:rFonts w:eastAsia="Calibri"/>
          <w:b/>
          <w:bCs/>
          <w:color w:val="CF4A02"/>
          <w:sz w:val="20"/>
          <w:szCs w:val="20"/>
        </w:rPr>
        <w:lastRenderedPageBreak/>
        <w:t>Other i</w:t>
      </w:r>
      <w:r w:rsidR="00790517" w:rsidRPr="002757B2">
        <w:rPr>
          <w:rFonts w:eastAsia="Calibri"/>
          <w:b/>
          <w:bCs/>
          <w:color w:val="CF4A02"/>
          <w:sz w:val="20"/>
          <w:szCs w:val="20"/>
        </w:rPr>
        <w:t>nformation</w:t>
      </w:r>
    </w:p>
    <w:p w14:paraId="4686FB92" w14:textId="77777777" w:rsidR="00E3702E" w:rsidRPr="00EE17E9" w:rsidRDefault="00E3702E" w:rsidP="00F67AF3">
      <w:pPr>
        <w:pStyle w:val="Default"/>
        <w:jc w:val="thaiDistribute"/>
        <w:rPr>
          <w:rFonts w:eastAsia="Calibri"/>
          <w:b/>
          <w:bCs/>
          <w:color w:val="000000" w:themeColor="text1"/>
          <w:sz w:val="12"/>
          <w:szCs w:val="12"/>
        </w:rPr>
      </w:pPr>
    </w:p>
    <w:p w14:paraId="436DE84E" w14:textId="77777777" w:rsidR="00747C86" w:rsidRPr="002757B2" w:rsidRDefault="00922275" w:rsidP="008B018B">
      <w:pPr>
        <w:pStyle w:val="Default"/>
        <w:jc w:val="thaiDistribute"/>
        <w:rPr>
          <w:color w:val="000000" w:themeColor="text1"/>
          <w:sz w:val="20"/>
          <w:szCs w:val="20"/>
        </w:rPr>
      </w:pPr>
      <w:r w:rsidRPr="002757B2">
        <w:rPr>
          <w:color w:val="000000" w:themeColor="text1"/>
          <w:sz w:val="20"/>
          <w:szCs w:val="20"/>
        </w:rPr>
        <w:t xml:space="preserve">The directors are </w:t>
      </w:r>
      <w:r w:rsidR="00747C86" w:rsidRPr="002757B2">
        <w:rPr>
          <w:color w:val="000000" w:themeColor="text1"/>
          <w:sz w:val="20"/>
          <w:szCs w:val="20"/>
        </w:rPr>
        <w:t>responsible for the other information. The other information comprises the information included in the annual report,</w:t>
      </w:r>
      <w:r w:rsidR="00AA3D7F" w:rsidRPr="002757B2">
        <w:rPr>
          <w:color w:val="000000" w:themeColor="text1"/>
          <w:sz w:val="20"/>
          <w:szCs w:val="20"/>
        </w:rPr>
        <w:t xml:space="preserve"> </w:t>
      </w:r>
      <w:r w:rsidR="00747C86" w:rsidRPr="002757B2">
        <w:rPr>
          <w:color w:val="000000" w:themeColor="text1"/>
          <w:sz w:val="20"/>
          <w:szCs w:val="20"/>
        </w:rPr>
        <w:t xml:space="preserve">but does not include the </w:t>
      </w:r>
      <w:r w:rsidR="005237A1" w:rsidRPr="002757B2">
        <w:rPr>
          <w:color w:val="000000" w:themeColor="text1"/>
          <w:sz w:val="20"/>
          <w:szCs w:val="20"/>
        </w:rPr>
        <w:t>consolidated and</w:t>
      </w:r>
      <w:r w:rsidR="00E507A3" w:rsidRPr="002757B2">
        <w:rPr>
          <w:color w:val="000000" w:themeColor="text1"/>
          <w:sz w:val="20"/>
          <w:szCs w:val="20"/>
        </w:rPr>
        <w:t xml:space="preserve"> separate</w:t>
      </w:r>
      <w:r w:rsidR="005237A1" w:rsidRPr="002757B2">
        <w:rPr>
          <w:color w:val="000000" w:themeColor="text1"/>
          <w:sz w:val="20"/>
          <w:szCs w:val="20"/>
        </w:rPr>
        <w:t xml:space="preserve"> </w:t>
      </w:r>
      <w:r w:rsidR="00747C86" w:rsidRPr="002757B2">
        <w:rPr>
          <w:color w:val="000000" w:themeColor="text1"/>
          <w:sz w:val="20"/>
          <w:szCs w:val="20"/>
        </w:rPr>
        <w:t>financial statements and my auditor’s report thereon</w:t>
      </w:r>
      <w:r w:rsidR="00B91979" w:rsidRPr="002757B2">
        <w:rPr>
          <w:color w:val="000000" w:themeColor="text1"/>
          <w:sz w:val="20"/>
          <w:szCs w:val="20"/>
        </w:rPr>
        <w:t>.</w:t>
      </w:r>
      <w:r w:rsidR="005237A1" w:rsidRPr="002757B2">
        <w:rPr>
          <w:rFonts w:eastAsiaTheme="minorEastAsia"/>
          <w:color w:val="000000" w:themeColor="text1"/>
          <w:kern w:val="24"/>
          <w:sz w:val="20"/>
          <w:szCs w:val="20"/>
        </w:rPr>
        <w:t xml:space="preserve"> </w:t>
      </w:r>
      <w:r w:rsidR="005237A1" w:rsidRPr="002757B2">
        <w:rPr>
          <w:color w:val="000000" w:themeColor="text1"/>
          <w:sz w:val="20"/>
          <w:szCs w:val="20"/>
        </w:rPr>
        <w:t>The annual report is expected to be made available to me after the date of this auditor's report.</w:t>
      </w:r>
    </w:p>
    <w:p w14:paraId="6A75D120" w14:textId="77777777" w:rsidR="00B91979" w:rsidRPr="002757B2" w:rsidRDefault="00B91979" w:rsidP="00F67AF3">
      <w:pPr>
        <w:pStyle w:val="Default"/>
        <w:jc w:val="thaiDistribute"/>
        <w:rPr>
          <w:color w:val="000000" w:themeColor="text1"/>
          <w:sz w:val="20"/>
          <w:szCs w:val="20"/>
        </w:rPr>
      </w:pPr>
    </w:p>
    <w:p w14:paraId="44E49BD5" w14:textId="77777777" w:rsidR="00747C86" w:rsidRPr="002757B2" w:rsidRDefault="00747C86" w:rsidP="00F67AF3">
      <w:pPr>
        <w:pStyle w:val="Default"/>
        <w:jc w:val="thaiDistribute"/>
        <w:rPr>
          <w:color w:val="000000" w:themeColor="text1"/>
          <w:sz w:val="20"/>
          <w:szCs w:val="20"/>
        </w:rPr>
      </w:pPr>
      <w:r w:rsidRPr="002757B2">
        <w:rPr>
          <w:color w:val="000000" w:themeColor="text1"/>
          <w:sz w:val="20"/>
          <w:szCs w:val="20"/>
        </w:rPr>
        <w:t xml:space="preserve">My opinion on the </w:t>
      </w:r>
      <w:r w:rsidR="005237A1" w:rsidRPr="002757B2">
        <w:rPr>
          <w:color w:val="000000" w:themeColor="text1"/>
          <w:sz w:val="20"/>
          <w:szCs w:val="20"/>
        </w:rPr>
        <w:t xml:space="preserve">consolidated and </w:t>
      </w:r>
      <w:r w:rsidR="00E507A3" w:rsidRPr="002757B2">
        <w:rPr>
          <w:color w:val="000000" w:themeColor="text1"/>
          <w:sz w:val="20"/>
          <w:szCs w:val="20"/>
        </w:rPr>
        <w:t xml:space="preserve">separate </w:t>
      </w:r>
      <w:r w:rsidRPr="002757B2">
        <w:rPr>
          <w:color w:val="000000" w:themeColor="text1"/>
          <w:sz w:val="20"/>
          <w:szCs w:val="20"/>
        </w:rPr>
        <w:t xml:space="preserve">financial statements does not cover the other information and I will not express any form of assurance conclusion thereon. </w:t>
      </w:r>
    </w:p>
    <w:p w14:paraId="113B00BD" w14:textId="77777777" w:rsidR="005237A1" w:rsidRPr="002757B2" w:rsidRDefault="005237A1" w:rsidP="00F67AF3">
      <w:pPr>
        <w:pStyle w:val="Default"/>
        <w:jc w:val="thaiDistribute"/>
        <w:rPr>
          <w:color w:val="000000" w:themeColor="text1"/>
          <w:sz w:val="20"/>
          <w:szCs w:val="20"/>
        </w:rPr>
      </w:pPr>
    </w:p>
    <w:p w14:paraId="1F981BA5" w14:textId="77777777" w:rsidR="005237A1" w:rsidRPr="002757B2" w:rsidRDefault="00747C86" w:rsidP="00F67AF3">
      <w:pPr>
        <w:pStyle w:val="Default"/>
        <w:jc w:val="thaiDistribute"/>
        <w:rPr>
          <w:color w:val="000000" w:themeColor="text1"/>
          <w:sz w:val="20"/>
          <w:szCs w:val="20"/>
        </w:rPr>
      </w:pPr>
      <w:r w:rsidRPr="002757B2">
        <w:rPr>
          <w:color w:val="000000" w:themeColor="text1"/>
          <w:sz w:val="20"/>
          <w:szCs w:val="20"/>
        </w:rPr>
        <w:t xml:space="preserve">In connection with my audit of the </w:t>
      </w:r>
      <w:r w:rsidR="005237A1" w:rsidRPr="002757B2">
        <w:rPr>
          <w:color w:val="000000" w:themeColor="text1"/>
          <w:sz w:val="20"/>
          <w:szCs w:val="20"/>
        </w:rPr>
        <w:t xml:space="preserve">consolidated and </w:t>
      </w:r>
      <w:r w:rsidR="00E507A3" w:rsidRPr="002757B2">
        <w:rPr>
          <w:color w:val="000000" w:themeColor="text1"/>
          <w:sz w:val="20"/>
          <w:szCs w:val="20"/>
        </w:rPr>
        <w:t xml:space="preserve">separate </w:t>
      </w:r>
      <w:r w:rsidRPr="002757B2">
        <w:rPr>
          <w:color w:val="000000" w:themeColor="text1"/>
          <w:sz w:val="20"/>
          <w:szCs w:val="20"/>
        </w:rPr>
        <w:t xml:space="preserve">financial statements, my responsibility is to read the other information identified above when it becomes available and, in doing so, consider whether the other information is materially inconsistent with the </w:t>
      </w:r>
      <w:r w:rsidR="005237A1" w:rsidRPr="002757B2">
        <w:rPr>
          <w:color w:val="000000" w:themeColor="text1"/>
          <w:sz w:val="20"/>
          <w:szCs w:val="20"/>
        </w:rPr>
        <w:t xml:space="preserve">consolidated and </w:t>
      </w:r>
      <w:r w:rsidR="00E507A3" w:rsidRPr="002757B2">
        <w:rPr>
          <w:color w:val="000000" w:themeColor="text1"/>
          <w:sz w:val="20"/>
          <w:szCs w:val="20"/>
        </w:rPr>
        <w:t xml:space="preserve">separate </w:t>
      </w:r>
      <w:r w:rsidRPr="002757B2">
        <w:rPr>
          <w:color w:val="000000" w:themeColor="text1"/>
          <w:sz w:val="20"/>
          <w:szCs w:val="20"/>
        </w:rPr>
        <w:t xml:space="preserve">financial statements or my knowledge obtained in the audit, or otherwise appears to be materially misstated. </w:t>
      </w:r>
    </w:p>
    <w:p w14:paraId="29693946" w14:textId="77777777" w:rsidR="00BD5FF4" w:rsidRPr="002757B2" w:rsidRDefault="00BD5FF4" w:rsidP="00F67AF3">
      <w:pPr>
        <w:pStyle w:val="Default"/>
        <w:jc w:val="thaiDistribute"/>
        <w:rPr>
          <w:color w:val="000000" w:themeColor="text1"/>
          <w:sz w:val="20"/>
          <w:szCs w:val="20"/>
        </w:rPr>
      </w:pPr>
    </w:p>
    <w:p w14:paraId="44C6EBFA" w14:textId="77777777" w:rsidR="00BF0E45" w:rsidRDefault="00BD5FF4" w:rsidP="00F67AF3">
      <w:pPr>
        <w:pStyle w:val="Default"/>
        <w:jc w:val="thaiDistribute"/>
        <w:rPr>
          <w:rFonts w:ascii="Arial Bold" w:eastAsia="Calibri" w:hAnsi="Arial Bold"/>
          <w:b/>
          <w:bCs/>
          <w:color w:val="CF4A02"/>
          <w:spacing w:val="-7"/>
          <w:sz w:val="20"/>
          <w:szCs w:val="20"/>
        </w:rPr>
      </w:pPr>
      <w:r w:rsidRPr="002757B2">
        <w:rPr>
          <w:color w:val="000000" w:themeColor="text1"/>
          <w:sz w:val="20"/>
          <w:szCs w:val="20"/>
        </w:rPr>
        <w:t>When I read the annual report, if I conclude that there is a</w:t>
      </w:r>
      <w:r w:rsidR="0034029B" w:rsidRPr="002757B2">
        <w:rPr>
          <w:color w:val="000000" w:themeColor="text1"/>
          <w:sz w:val="20"/>
          <w:szCs w:val="20"/>
        </w:rPr>
        <w:t xml:space="preserve"> material misstatement therein,</w:t>
      </w:r>
      <w:r w:rsidR="0034029B" w:rsidRPr="002757B2">
        <w:rPr>
          <w:color w:val="000000" w:themeColor="text1"/>
          <w:sz w:val="20"/>
          <w:szCs w:val="20"/>
          <w:cs/>
        </w:rPr>
        <w:t xml:space="preserve"> </w:t>
      </w:r>
      <w:r w:rsidRPr="002757B2">
        <w:rPr>
          <w:color w:val="000000" w:themeColor="text1"/>
          <w:sz w:val="20"/>
          <w:szCs w:val="20"/>
        </w:rPr>
        <w:t xml:space="preserve">I am required to communicate the matter to </w:t>
      </w:r>
      <w:r w:rsidR="00E507A3" w:rsidRPr="002757B2">
        <w:rPr>
          <w:color w:val="000000" w:themeColor="text1"/>
          <w:sz w:val="20"/>
          <w:szCs w:val="20"/>
        </w:rPr>
        <w:t xml:space="preserve">the </w:t>
      </w:r>
      <w:r w:rsidR="008E0FC2" w:rsidRPr="002757B2">
        <w:rPr>
          <w:color w:val="000000" w:themeColor="text1"/>
          <w:sz w:val="20"/>
          <w:szCs w:val="20"/>
        </w:rPr>
        <w:t>audit committee</w:t>
      </w:r>
      <w:r w:rsidR="00BF0E45">
        <w:rPr>
          <w:rFonts w:cs="Browallia New"/>
          <w:color w:val="000000" w:themeColor="text1"/>
          <w:sz w:val="20"/>
          <w:szCs w:val="25"/>
        </w:rPr>
        <w:t>.</w:t>
      </w:r>
    </w:p>
    <w:p w14:paraId="1E579C7B" w14:textId="77777777" w:rsidR="00BF0E45" w:rsidRDefault="00BF0E45" w:rsidP="00F67AF3">
      <w:pPr>
        <w:pStyle w:val="Default"/>
        <w:jc w:val="thaiDistribute"/>
        <w:rPr>
          <w:rFonts w:ascii="Arial Bold" w:eastAsia="Calibri" w:hAnsi="Arial Bold"/>
          <w:b/>
          <w:bCs/>
          <w:color w:val="CF4A02"/>
          <w:spacing w:val="-7"/>
          <w:sz w:val="20"/>
          <w:szCs w:val="20"/>
        </w:rPr>
      </w:pPr>
    </w:p>
    <w:p w14:paraId="221AD92D" w14:textId="77777777" w:rsidR="00790517" w:rsidRPr="00BF0E45" w:rsidRDefault="00790517" w:rsidP="00F67AF3">
      <w:pPr>
        <w:pStyle w:val="Default"/>
        <w:jc w:val="thaiDistribute"/>
        <w:rPr>
          <w:rFonts w:cs="Browallia New"/>
          <w:color w:val="000000" w:themeColor="text1"/>
          <w:sz w:val="20"/>
          <w:szCs w:val="25"/>
        </w:rPr>
      </w:pPr>
      <w:r w:rsidRPr="002D2FF7">
        <w:rPr>
          <w:rFonts w:ascii="Arial Bold" w:eastAsia="Calibri" w:hAnsi="Arial Bold"/>
          <w:b/>
          <w:bCs/>
          <w:color w:val="CF4A02"/>
          <w:sz w:val="20"/>
          <w:szCs w:val="20"/>
        </w:rPr>
        <w:t xml:space="preserve">Responsibilities of </w:t>
      </w:r>
      <w:r w:rsidR="00E507A3" w:rsidRPr="002D2FF7">
        <w:rPr>
          <w:rFonts w:ascii="Arial Bold" w:eastAsia="Calibri" w:hAnsi="Arial Bold"/>
          <w:b/>
          <w:bCs/>
          <w:color w:val="CF4A02"/>
          <w:sz w:val="20"/>
          <w:szCs w:val="20"/>
        </w:rPr>
        <w:t xml:space="preserve">the directors </w:t>
      </w:r>
      <w:r w:rsidRPr="002D2FF7">
        <w:rPr>
          <w:rFonts w:ascii="Arial Bold" w:eastAsia="Calibri" w:hAnsi="Arial Bold"/>
          <w:b/>
          <w:bCs/>
          <w:color w:val="CF4A02"/>
          <w:sz w:val="20"/>
          <w:szCs w:val="20"/>
        </w:rPr>
        <w:t xml:space="preserve">for the </w:t>
      </w:r>
      <w:r w:rsidR="00E07F94" w:rsidRPr="002D2FF7">
        <w:rPr>
          <w:rFonts w:ascii="Arial Bold" w:eastAsia="Calibri" w:hAnsi="Arial Bold"/>
          <w:b/>
          <w:bCs/>
          <w:color w:val="CF4A02"/>
          <w:sz w:val="20"/>
          <w:szCs w:val="20"/>
        </w:rPr>
        <w:t>c</w:t>
      </w:r>
      <w:r w:rsidR="00BD5FF4" w:rsidRPr="002D2FF7">
        <w:rPr>
          <w:rFonts w:ascii="Arial Bold" w:eastAsia="Calibri" w:hAnsi="Arial Bold"/>
          <w:b/>
          <w:bCs/>
          <w:color w:val="CF4A02"/>
          <w:sz w:val="20"/>
          <w:szCs w:val="20"/>
        </w:rPr>
        <w:t xml:space="preserve">onsolidated and </w:t>
      </w:r>
      <w:r w:rsidR="00E07F94" w:rsidRPr="002D2FF7">
        <w:rPr>
          <w:rFonts w:ascii="Arial Bold" w:eastAsia="Calibri" w:hAnsi="Arial Bold"/>
          <w:b/>
          <w:bCs/>
          <w:color w:val="CF4A02"/>
          <w:sz w:val="20"/>
          <w:szCs w:val="20"/>
        </w:rPr>
        <w:t>s</w:t>
      </w:r>
      <w:r w:rsidR="00E507A3" w:rsidRPr="002D2FF7">
        <w:rPr>
          <w:rFonts w:ascii="Arial Bold" w:eastAsia="Calibri" w:hAnsi="Arial Bold"/>
          <w:b/>
          <w:bCs/>
          <w:color w:val="CF4A02"/>
          <w:sz w:val="20"/>
          <w:szCs w:val="20"/>
        </w:rPr>
        <w:t xml:space="preserve">eparate </w:t>
      </w:r>
      <w:r w:rsidR="00E07F94" w:rsidRPr="002D2FF7">
        <w:rPr>
          <w:rFonts w:ascii="Arial Bold" w:eastAsia="Calibri" w:hAnsi="Arial Bold"/>
          <w:b/>
          <w:bCs/>
          <w:color w:val="CF4A02"/>
          <w:sz w:val="20"/>
          <w:szCs w:val="20"/>
        </w:rPr>
        <w:t>f</w:t>
      </w:r>
      <w:r w:rsidRPr="002D2FF7">
        <w:rPr>
          <w:rFonts w:ascii="Arial Bold" w:eastAsia="Calibri" w:hAnsi="Arial Bold"/>
          <w:b/>
          <w:bCs/>
          <w:color w:val="CF4A02"/>
          <w:sz w:val="20"/>
          <w:szCs w:val="20"/>
        </w:rPr>
        <w:t xml:space="preserve">inancial </w:t>
      </w:r>
      <w:r w:rsidR="00E07F94" w:rsidRPr="002D2FF7">
        <w:rPr>
          <w:rFonts w:ascii="Arial Bold" w:eastAsia="Calibri" w:hAnsi="Arial Bold"/>
          <w:b/>
          <w:bCs/>
          <w:color w:val="CF4A02"/>
          <w:sz w:val="20"/>
          <w:szCs w:val="20"/>
        </w:rPr>
        <w:t>s</w:t>
      </w:r>
      <w:r w:rsidRPr="002D2FF7">
        <w:rPr>
          <w:rFonts w:ascii="Arial Bold" w:eastAsia="Calibri" w:hAnsi="Arial Bold"/>
          <w:b/>
          <w:bCs/>
          <w:color w:val="CF4A02"/>
          <w:sz w:val="20"/>
          <w:szCs w:val="20"/>
        </w:rPr>
        <w:t xml:space="preserve">tatements </w:t>
      </w:r>
    </w:p>
    <w:p w14:paraId="7B0A598D" w14:textId="77777777" w:rsidR="00E3702E" w:rsidRPr="00EE17E9" w:rsidRDefault="00E3702E" w:rsidP="00F67AF3">
      <w:pPr>
        <w:pStyle w:val="Default"/>
        <w:jc w:val="thaiDistribute"/>
        <w:rPr>
          <w:rFonts w:eastAsia="Calibri"/>
          <w:b/>
          <w:bCs/>
          <w:color w:val="000000" w:themeColor="text1"/>
          <w:sz w:val="12"/>
          <w:szCs w:val="12"/>
        </w:rPr>
      </w:pPr>
    </w:p>
    <w:p w14:paraId="571A7DFE" w14:textId="77777777" w:rsidR="00B91979" w:rsidRPr="002757B2" w:rsidRDefault="00E507A3" w:rsidP="008B018B">
      <w:pPr>
        <w:spacing w:after="0" w:line="240" w:lineRule="auto"/>
        <w:jc w:val="thaiDistribute"/>
        <w:rPr>
          <w:rFonts w:ascii="Arial" w:hAnsi="Arial" w:cs="Arial"/>
          <w:color w:val="000000" w:themeColor="text1"/>
          <w:sz w:val="20"/>
          <w:szCs w:val="20"/>
        </w:rPr>
      </w:pPr>
      <w:r w:rsidRPr="002757B2">
        <w:rPr>
          <w:rFonts w:ascii="Arial" w:hAnsi="Arial" w:cs="Arial"/>
          <w:color w:val="000000" w:themeColor="text1"/>
          <w:sz w:val="20"/>
          <w:szCs w:val="20"/>
        </w:rPr>
        <w:t>The directors are</w:t>
      </w:r>
      <w:r w:rsidR="00B91979" w:rsidRPr="002757B2">
        <w:rPr>
          <w:rFonts w:ascii="Arial" w:hAnsi="Arial" w:cs="Arial"/>
          <w:color w:val="000000" w:themeColor="text1"/>
          <w:sz w:val="20"/>
          <w:szCs w:val="20"/>
        </w:rPr>
        <w:t xml:space="preserve"> responsible for the preparation and fair presentation of the </w:t>
      </w:r>
      <w:r w:rsidR="00BD5FF4" w:rsidRPr="002757B2">
        <w:rPr>
          <w:rFonts w:ascii="Arial" w:hAnsi="Arial" w:cs="Arial"/>
          <w:color w:val="000000" w:themeColor="text1"/>
          <w:sz w:val="20"/>
          <w:szCs w:val="20"/>
        </w:rPr>
        <w:t xml:space="preserve">consolidated and </w:t>
      </w:r>
      <w:r w:rsidR="00D0685C" w:rsidRPr="002757B2">
        <w:rPr>
          <w:rFonts w:ascii="Arial" w:hAnsi="Arial" w:cs="Arial"/>
          <w:color w:val="000000" w:themeColor="text1"/>
          <w:sz w:val="20"/>
          <w:szCs w:val="20"/>
        </w:rPr>
        <w:t xml:space="preserve">separate </w:t>
      </w:r>
      <w:r w:rsidR="00B91979" w:rsidRPr="002757B2">
        <w:rPr>
          <w:rFonts w:ascii="Arial" w:hAnsi="Arial" w:cs="Arial"/>
          <w:color w:val="000000" w:themeColor="text1"/>
          <w:sz w:val="20"/>
          <w:szCs w:val="20"/>
        </w:rPr>
        <w:t>financial statements in accordance</w:t>
      </w:r>
      <w:r w:rsidR="005B1E87" w:rsidRPr="002757B2">
        <w:rPr>
          <w:rFonts w:ascii="Arial" w:hAnsi="Arial" w:cs="Arial"/>
          <w:color w:val="000000" w:themeColor="text1"/>
          <w:sz w:val="20"/>
          <w:szCs w:val="20"/>
        </w:rPr>
        <w:t xml:space="preserve"> </w:t>
      </w:r>
      <w:r w:rsidR="00B91979" w:rsidRPr="002757B2">
        <w:rPr>
          <w:rFonts w:ascii="Arial" w:hAnsi="Arial" w:cs="Arial"/>
          <w:color w:val="000000" w:themeColor="text1"/>
          <w:sz w:val="20"/>
          <w:szCs w:val="20"/>
        </w:rPr>
        <w:t xml:space="preserve">with TFRS, and for such internal control as </w:t>
      </w:r>
      <w:r w:rsidR="00D0685C" w:rsidRPr="002757B2">
        <w:rPr>
          <w:rFonts w:ascii="Arial" w:hAnsi="Arial" w:cs="Arial"/>
          <w:color w:val="000000" w:themeColor="text1"/>
          <w:sz w:val="20"/>
          <w:szCs w:val="20"/>
        </w:rPr>
        <w:t xml:space="preserve">the directors </w:t>
      </w:r>
      <w:r w:rsidR="00B91979" w:rsidRPr="002757B2">
        <w:rPr>
          <w:rFonts w:ascii="Arial" w:hAnsi="Arial" w:cs="Arial"/>
          <w:color w:val="000000" w:themeColor="text1"/>
          <w:sz w:val="20"/>
          <w:szCs w:val="20"/>
        </w:rPr>
        <w:t xml:space="preserve">determine is necessary to enable the preparation of </w:t>
      </w:r>
      <w:r w:rsidR="00BD5FF4" w:rsidRPr="002757B2">
        <w:rPr>
          <w:rFonts w:ascii="Arial" w:hAnsi="Arial" w:cs="Arial"/>
          <w:color w:val="000000" w:themeColor="text1"/>
          <w:sz w:val="20"/>
          <w:szCs w:val="20"/>
        </w:rPr>
        <w:t xml:space="preserve">consolidated and </w:t>
      </w:r>
      <w:r w:rsidR="00D0685C" w:rsidRPr="002757B2">
        <w:rPr>
          <w:rFonts w:ascii="Arial" w:hAnsi="Arial" w:cs="Arial"/>
          <w:color w:val="000000" w:themeColor="text1"/>
          <w:sz w:val="20"/>
          <w:szCs w:val="20"/>
        </w:rPr>
        <w:t xml:space="preserve">separate </w:t>
      </w:r>
      <w:r w:rsidR="00B91979" w:rsidRPr="002757B2">
        <w:rPr>
          <w:rFonts w:ascii="Arial" w:hAnsi="Arial" w:cs="Arial"/>
          <w:color w:val="000000" w:themeColor="text1"/>
          <w:sz w:val="20"/>
          <w:szCs w:val="20"/>
        </w:rPr>
        <w:t xml:space="preserve">financial statements that are free from material misstatement, whether due to fraud or error. </w:t>
      </w:r>
    </w:p>
    <w:p w14:paraId="2E605835" w14:textId="77777777" w:rsidR="00B91979" w:rsidRPr="002757B2" w:rsidRDefault="00B91979" w:rsidP="00F67AF3">
      <w:pPr>
        <w:spacing w:after="0" w:line="240" w:lineRule="auto"/>
        <w:jc w:val="thaiDistribute"/>
        <w:rPr>
          <w:rFonts w:ascii="Arial" w:hAnsi="Arial" w:cs="Arial"/>
          <w:color w:val="000000" w:themeColor="text1"/>
          <w:sz w:val="20"/>
          <w:szCs w:val="20"/>
        </w:rPr>
      </w:pPr>
    </w:p>
    <w:p w14:paraId="4124C86A" w14:textId="77777777" w:rsidR="00B91979" w:rsidRPr="002757B2" w:rsidRDefault="00B91979" w:rsidP="00F67AF3">
      <w:pPr>
        <w:spacing w:after="0" w:line="240" w:lineRule="auto"/>
        <w:jc w:val="thaiDistribute"/>
        <w:rPr>
          <w:rFonts w:ascii="Arial" w:hAnsi="Arial" w:cs="Arial"/>
          <w:color w:val="000000" w:themeColor="text1"/>
          <w:sz w:val="20"/>
          <w:szCs w:val="20"/>
        </w:rPr>
      </w:pPr>
      <w:r w:rsidRPr="00A92691">
        <w:rPr>
          <w:rFonts w:ascii="Arial" w:hAnsi="Arial" w:cs="Arial"/>
          <w:color w:val="000000" w:themeColor="text1"/>
          <w:spacing w:val="-4"/>
          <w:sz w:val="20"/>
          <w:szCs w:val="20"/>
        </w:rPr>
        <w:t xml:space="preserve">In preparing the </w:t>
      </w:r>
      <w:r w:rsidR="00BD5FF4" w:rsidRPr="00A92691">
        <w:rPr>
          <w:rFonts w:ascii="Arial" w:hAnsi="Arial" w:cs="Arial"/>
          <w:color w:val="000000" w:themeColor="text1"/>
          <w:spacing w:val="-4"/>
          <w:sz w:val="20"/>
          <w:szCs w:val="20"/>
        </w:rPr>
        <w:t xml:space="preserve">consolidated and </w:t>
      </w:r>
      <w:r w:rsidR="00D0685C" w:rsidRPr="00A92691">
        <w:rPr>
          <w:rFonts w:ascii="Arial" w:hAnsi="Arial" w:cs="Arial"/>
          <w:color w:val="000000" w:themeColor="text1"/>
          <w:spacing w:val="-4"/>
          <w:sz w:val="20"/>
          <w:szCs w:val="20"/>
        </w:rPr>
        <w:t xml:space="preserve">separate </w:t>
      </w:r>
      <w:r w:rsidRPr="00A92691">
        <w:rPr>
          <w:rFonts w:ascii="Arial" w:hAnsi="Arial" w:cs="Arial"/>
          <w:color w:val="000000" w:themeColor="text1"/>
          <w:spacing w:val="-4"/>
          <w:sz w:val="20"/>
          <w:szCs w:val="20"/>
        </w:rPr>
        <w:t xml:space="preserve">financial statements, </w:t>
      </w:r>
      <w:r w:rsidR="00D0685C" w:rsidRPr="00A92691">
        <w:rPr>
          <w:rFonts w:ascii="Arial" w:hAnsi="Arial" w:cs="Arial"/>
          <w:color w:val="000000" w:themeColor="text1"/>
          <w:spacing w:val="-4"/>
          <w:sz w:val="20"/>
          <w:szCs w:val="20"/>
        </w:rPr>
        <w:t>the directors are</w:t>
      </w:r>
      <w:r w:rsidRPr="00A92691">
        <w:rPr>
          <w:rFonts w:ascii="Arial" w:hAnsi="Arial" w:cs="Arial"/>
          <w:color w:val="000000" w:themeColor="text1"/>
          <w:spacing w:val="-4"/>
          <w:sz w:val="20"/>
          <w:szCs w:val="20"/>
        </w:rPr>
        <w:t xml:space="preserve"> responsible for assessing</w:t>
      </w:r>
      <w:r w:rsidRPr="002757B2">
        <w:rPr>
          <w:rFonts w:ascii="Arial" w:hAnsi="Arial" w:cs="Arial"/>
          <w:color w:val="000000" w:themeColor="text1"/>
          <w:sz w:val="20"/>
          <w:szCs w:val="20"/>
        </w:rPr>
        <w:t xml:space="preserve"> the </w:t>
      </w:r>
      <w:r w:rsidR="00BD5FF4" w:rsidRPr="002757B2">
        <w:rPr>
          <w:rFonts w:ascii="Arial" w:hAnsi="Arial" w:cs="Arial"/>
          <w:color w:val="000000" w:themeColor="text1"/>
          <w:sz w:val="20"/>
          <w:szCs w:val="20"/>
        </w:rPr>
        <w:t>Group</w:t>
      </w:r>
      <w:r w:rsidR="00AA3D7F" w:rsidRPr="002757B2">
        <w:rPr>
          <w:rFonts w:ascii="Arial" w:hAnsi="Arial" w:cs="Arial"/>
          <w:color w:val="000000" w:themeColor="text1"/>
          <w:sz w:val="20"/>
          <w:szCs w:val="20"/>
        </w:rPr>
        <w:t>’s</w:t>
      </w:r>
      <w:r w:rsidR="00BD5FF4" w:rsidRPr="002757B2">
        <w:rPr>
          <w:rFonts w:ascii="Arial" w:hAnsi="Arial" w:cs="Arial"/>
          <w:color w:val="000000" w:themeColor="text1"/>
          <w:sz w:val="20"/>
          <w:szCs w:val="20"/>
        </w:rPr>
        <w:t xml:space="preserve"> and </w:t>
      </w:r>
      <w:r w:rsidR="007A3ACC" w:rsidRPr="002757B2">
        <w:rPr>
          <w:rFonts w:ascii="Arial" w:hAnsi="Arial" w:cs="Arial"/>
          <w:color w:val="000000" w:themeColor="text1"/>
          <w:sz w:val="20"/>
          <w:szCs w:val="20"/>
        </w:rPr>
        <w:t xml:space="preserve">the </w:t>
      </w:r>
      <w:r w:rsidRPr="002757B2">
        <w:rPr>
          <w:rFonts w:ascii="Arial" w:hAnsi="Arial" w:cs="Arial"/>
          <w:color w:val="000000" w:themeColor="text1"/>
          <w:sz w:val="20"/>
          <w:szCs w:val="20"/>
        </w:rPr>
        <w:t xml:space="preserve">Company’s ability to continue as a going concern, disclosing, as applicable, matters </w:t>
      </w:r>
      <w:r w:rsidRPr="00A92691">
        <w:rPr>
          <w:rFonts w:ascii="Arial" w:hAnsi="Arial" w:cs="Arial"/>
          <w:color w:val="000000" w:themeColor="text1"/>
          <w:spacing w:val="-4"/>
          <w:sz w:val="20"/>
          <w:szCs w:val="20"/>
        </w:rPr>
        <w:t xml:space="preserve">related to going concern and using the going concern basis of accounting unless </w:t>
      </w:r>
      <w:r w:rsidR="00DB44FA" w:rsidRPr="00A92691">
        <w:rPr>
          <w:rFonts w:ascii="Arial" w:hAnsi="Arial" w:cs="Arial"/>
          <w:color w:val="000000" w:themeColor="text1"/>
          <w:spacing w:val="-4"/>
          <w:sz w:val="20"/>
          <w:szCs w:val="20"/>
        </w:rPr>
        <w:t xml:space="preserve">the directors </w:t>
      </w:r>
      <w:r w:rsidRPr="00A92691">
        <w:rPr>
          <w:rFonts w:ascii="Arial" w:hAnsi="Arial" w:cs="Arial"/>
          <w:color w:val="000000" w:themeColor="text1"/>
          <w:spacing w:val="-4"/>
          <w:sz w:val="20"/>
          <w:szCs w:val="20"/>
        </w:rPr>
        <w:t xml:space="preserve">either intend to liquidate the </w:t>
      </w:r>
      <w:r w:rsidR="00BD5FF4" w:rsidRPr="00A92691">
        <w:rPr>
          <w:rFonts w:ascii="Arial" w:hAnsi="Arial" w:cs="Arial"/>
          <w:color w:val="000000" w:themeColor="text1"/>
          <w:spacing w:val="-4"/>
          <w:sz w:val="20"/>
          <w:szCs w:val="20"/>
        </w:rPr>
        <w:t xml:space="preserve">Group </w:t>
      </w:r>
      <w:r w:rsidR="00900250" w:rsidRPr="00A92691">
        <w:rPr>
          <w:rFonts w:ascii="Arial" w:hAnsi="Arial" w:cs="Arial"/>
          <w:color w:val="000000" w:themeColor="text1"/>
          <w:spacing w:val="-4"/>
          <w:sz w:val="20"/>
          <w:szCs w:val="20"/>
        </w:rPr>
        <w:t>and</w:t>
      </w:r>
      <w:r w:rsidR="00BD5FF4" w:rsidRPr="00A92691">
        <w:rPr>
          <w:rFonts w:ascii="Arial" w:hAnsi="Arial" w:cs="Arial"/>
          <w:color w:val="000000" w:themeColor="text1"/>
          <w:spacing w:val="-4"/>
          <w:sz w:val="20"/>
          <w:szCs w:val="20"/>
        </w:rPr>
        <w:t xml:space="preserve"> </w:t>
      </w:r>
      <w:r w:rsidR="007A3ACC" w:rsidRPr="00A92691">
        <w:rPr>
          <w:rFonts w:ascii="Arial" w:hAnsi="Arial" w:cs="Arial"/>
          <w:color w:val="000000" w:themeColor="text1"/>
          <w:spacing w:val="-4"/>
          <w:sz w:val="20"/>
          <w:szCs w:val="20"/>
        </w:rPr>
        <w:t>the</w:t>
      </w:r>
      <w:r w:rsidR="00BF408C" w:rsidRPr="00A92691">
        <w:rPr>
          <w:rFonts w:ascii="Arial" w:hAnsi="Arial" w:cs="Arial"/>
          <w:color w:val="000000" w:themeColor="text1"/>
          <w:spacing w:val="-4"/>
          <w:sz w:val="20"/>
          <w:szCs w:val="20"/>
        </w:rPr>
        <w:t xml:space="preserve"> </w:t>
      </w:r>
      <w:r w:rsidRPr="00A92691">
        <w:rPr>
          <w:rFonts w:ascii="Arial" w:hAnsi="Arial" w:cs="Arial"/>
          <w:color w:val="000000" w:themeColor="text1"/>
          <w:spacing w:val="-4"/>
          <w:sz w:val="20"/>
          <w:szCs w:val="20"/>
        </w:rPr>
        <w:t>Company or to cease operations, or has no realistic alternative but to do so.</w:t>
      </w:r>
    </w:p>
    <w:p w14:paraId="3B295836" w14:textId="77777777" w:rsidR="00B91979" w:rsidRPr="002757B2" w:rsidRDefault="00B91979" w:rsidP="00F67AF3">
      <w:pPr>
        <w:spacing w:after="0" w:line="240" w:lineRule="auto"/>
        <w:jc w:val="thaiDistribute"/>
        <w:rPr>
          <w:rFonts w:ascii="Arial" w:hAnsi="Arial" w:cs="Arial"/>
          <w:color w:val="000000" w:themeColor="text1"/>
          <w:sz w:val="20"/>
          <w:szCs w:val="20"/>
        </w:rPr>
      </w:pPr>
    </w:p>
    <w:p w14:paraId="3C29D0F5" w14:textId="77777777" w:rsidR="00B91979" w:rsidRPr="002757B2" w:rsidRDefault="00E07F94" w:rsidP="00F67AF3">
      <w:pPr>
        <w:spacing w:after="0" w:line="240" w:lineRule="auto"/>
        <w:jc w:val="thaiDistribute"/>
        <w:rPr>
          <w:rFonts w:ascii="Arial" w:hAnsi="Arial" w:cs="Arial"/>
          <w:color w:val="000000" w:themeColor="text1"/>
          <w:sz w:val="20"/>
          <w:szCs w:val="20"/>
        </w:rPr>
      </w:pPr>
      <w:r w:rsidRPr="002757B2">
        <w:rPr>
          <w:rFonts w:ascii="Arial" w:hAnsi="Arial" w:cs="Arial"/>
          <w:color w:val="000000" w:themeColor="text1"/>
          <w:sz w:val="20"/>
          <w:szCs w:val="20"/>
        </w:rPr>
        <w:t>The a</w:t>
      </w:r>
      <w:r w:rsidR="006651E7" w:rsidRPr="002757B2">
        <w:rPr>
          <w:rFonts w:ascii="Arial" w:hAnsi="Arial" w:cs="Arial"/>
          <w:color w:val="000000" w:themeColor="text1"/>
          <w:sz w:val="20"/>
          <w:szCs w:val="20"/>
        </w:rPr>
        <w:t xml:space="preserve">udit </w:t>
      </w:r>
      <w:r w:rsidRPr="002757B2">
        <w:rPr>
          <w:rFonts w:ascii="Arial" w:hAnsi="Arial" w:cs="Arial"/>
          <w:color w:val="000000" w:themeColor="text1"/>
          <w:sz w:val="20"/>
          <w:szCs w:val="20"/>
        </w:rPr>
        <w:t>c</w:t>
      </w:r>
      <w:r w:rsidR="006651E7" w:rsidRPr="002757B2">
        <w:rPr>
          <w:rFonts w:ascii="Arial" w:hAnsi="Arial" w:cs="Arial"/>
          <w:color w:val="000000" w:themeColor="text1"/>
          <w:sz w:val="20"/>
          <w:szCs w:val="20"/>
        </w:rPr>
        <w:t>ommittee assists</w:t>
      </w:r>
      <w:r w:rsidR="00D0685C" w:rsidRPr="002757B2">
        <w:rPr>
          <w:rFonts w:ascii="Arial" w:hAnsi="Arial" w:cs="Arial"/>
          <w:color w:val="000000" w:themeColor="text1"/>
          <w:sz w:val="20"/>
          <w:szCs w:val="20"/>
        </w:rPr>
        <w:t xml:space="preserve"> the directors in discharging their responsibilit</w:t>
      </w:r>
      <w:r w:rsidR="00433A38" w:rsidRPr="002757B2">
        <w:rPr>
          <w:rFonts w:ascii="Arial" w:hAnsi="Arial" w:cs="Arial"/>
          <w:color w:val="000000" w:themeColor="text1"/>
          <w:sz w:val="20"/>
          <w:szCs w:val="20"/>
        </w:rPr>
        <w:t>ies</w:t>
      </w:r>
      <w:r w:rsidR="00D0685C" w:rsidRPr="002757B2">
        <w:rPr>
          <w:rFonts w:ascii="Arial" w:hAnsi="Arial" w:cs="Arial"/>
          <w:color w:val="000000" w:themeColor="text1"/>
          <w:sz w:val="20"/>
          <w:szCs w:val="20"/>
        </w:rPr>
        <w:t xml:space="preserve"> </w:t>
      </w:r>
      <w:r w:rsidR="00B91979" w:rsidRPr="002757B2">
        <w:rPr>
          <w:rFonts w:ascii="Arial" w:hAnsi="Arial" w:cs="Arial"/>
          <w:color w:val="000000" w:themeColor="text1"/>
          <w:sz w:val="20"/>
          <w:szCs w:val="20"/>
        </w:rPr>
        <w:t xml:space="preserve">for overseeing the </w:t>
      </w:r>
      <w:r w:rsidR="00BD5FF4" w:rsidRPr="002757B2">
        <w:rPr>
          <w:rFonts w:ascii="Arial" w:hAnsi="Arial" w:cs="Arial"/>
          <w:color w:val="000000" w:themeColor="text1"/>
          <w:sz w:val="20"/>
          <w:szCs w:val="20"/>
        </w:rPr>
        <w:t>Group</w:t>
      </w:r>
      <w:r w:rsidR="00AA3D7F" w:rsidRPr="002757B2">
        <w:rPr>
          <w:rFonts w:ascii="Arial" w:hAnsi="Arial" w:cs="Arial"/>
          <w:color w:val="000000" w:themeColor="text1"/>
          <w:sz w:val="20"/>
          <w:szCs w:val="20"/>
        </w:rPr>
        <w:t>’s</w:t>
      </w:r>
      <w:r w:rsidR="00BD5FF4" w:rsidRPr="002757B2">
        <w:rPr>
          <w:rFonts w:ascii="Arial" w:hAnsi="Arial" w:cs="Arial"/>
          <w:color w:val="000000" w:themeColor="text1"/>
          <w:sz w:val="20"/>
          <w:szCs w:val="20"/>
        </w:rPr>
        <w:t xml:space="preserve"> and </w:t>
      </w:r>
      <w:r w:rsidR="007A3ACC" w:rsidRPr="002757B2">
        <w:rPr>
          <w:rFonts w:ascii="Arial" w:hAnsi="Arial" w:cs="Arial"/>
          <w:color w:val="000000" w:themeColor="text1"/>
          <w:sz w:val="20"/>
          <w:szCs w:val="20"/>
        </w:rPr>
        <w:t xml:space="preserve">the </w:t>
      </w:r>
      <w:r w:rsidR="00B91979" w:rsidRPr="002757B2">
        <w:rPr>
          <w:rFonts w:ascii="Arial" w:hAnsi="Arial" w:cs="Arial"/>
          <w:color w:val="000000" w:themeColor="text1"/>
          <w:sz w:val="20"/>
          <w:szCs w:val="20"/>
        </w:rPr>
        <w:t xml:space="preserve">Company’s financial reporting process. </w:t>
      </w:r>
    </w:p>
    <w:p w14:paraId="2B420978" w14:textId="77777777" w:rsidR="00620568" w:rsidRPr="002757B2" w:rsidRDefault="00620568" w:rsidP="00F67AF3">
      <w:pPr>
        <w:pStyle w:val="Default"/>
        <w:jc w:val="thaiDistribute"/>
        <w:rPr>
          <w:b/>
          <w:bCs/>
          <w:color w:val="000000" w:themeColor="text1"/>
          <w:sz w:val="20"/>
          <w:szCs w:val="20"/>
        </w:rPr>
      </w:pPr>
    </w:p>
    <w:p w14:paraId="1F71F87E" w14:textId="77777777" w:rsidR="00620568" w:rsidRPr="002757B2" w:rsidRDefault="00E07F94" w:rsidP="00F67AF3">
      <w:pPr>
        <w:pStyle w:val="Default"/>
        <w:jc w:val="thaiDistribute"/>
        <w:rPr>
          <w:rFonts w:ascii="Arial Bold" w:eastAsia="Calibri" w:hAnsi="Arial Bold"/>
          <w:b/>
          <w:bCs/>
          <w:color w:val="CF4A02"/>
          <w:sz w:val="20"/>
          <w:szCs w:val="20"/>
        </w:rPr>
      </w:pPr>
      <w:r w:rsidRPr="002757B2">
        <w:rPr>
          <w:rFonts w:ascii="Arial Bold" w:eastAsia="Calibri" w:hAnsi="Arial Bold"/>
          <w:b/>
          <w:bCs/>
          <w:color w:val="CF4A02"/>
          <w:sz w:val="20"/>
          <w:szCs w:val="20"/>
        </w:rPr>
        <w:t>Auditor’s r</w:t>
      </w:r>
      <w:r w:rsidR="00790517" w:rsidRPr="002757B2">
        <w:rPr>
          <w:rFonts w:ascii="Arial Bold" w:eastAsia="Calibri" w:hAnsi="Arial Bold"/>
          <w:b/>
          <w:bCs/>
          <w:color w:val="CF4A02"/>
          <w:sz w:val="20"/>
          <w:szCs w:val="20"/>
        </w:rPr>
        <w:t xml:space="preserve">esponsibilities for the </w:t>
      </w:r>
      <w:r w:rsidRPr="002757B2">
        <w:rPr>
          <w:rFonts w:ascii="Arial Bold" w:eastAsia="Calibri" w:hAnsi="Arial Bold"/>
          <w:b/>
          <w:bCs/>
          <w:color w:val="CF4A02"/>
          <w:sz w:val="20"/>
          <w:szCs w:val="20"/>
        </w:rPr>
        <w:t>a</w:t>
      </w:r>
      <w:r w:rsidR="00790517" w:rsidRPr="002757B2">
        <w:rPr>
          <w:rFonts w:ascii="Arial Bold" w:eastAsia="Calibri" w:hAnsi="Arial Bold"/>
          <w:b/>
          <w:bCs/>
          <w:color w:val="CF4A02"/>
          <w:sz w:val="20"/>
          <w:szCs w:val="20"/>
        </w:rPr>
        <w:t xml:space="preserve">udit of the </w:t>
      </w:r>
      <w:r w:rsidRPr="002757B2">
        <w:rPr>
          <w:rFonts w:ascii="Arial Bold" w:eastAsia="Calibri" w:hAnsi="Arial Bold"/>
          <w:b/>
          <w:bCs/>
          <w:color w:val="CF4A02"/>
          <w:sz w:val="20"/>
          <w:szCs w:val="20"/>
        </w:rPr>
        <w:t>c</w:t>
      </w:r>
      <w:r w:rsidR="00900250" w:rsidRPr="002757B2">
        <w:rPr>
          <w:rFonts w:ascii="Arial Bold" w:eastAsia="Calibri" w:hAnsi="Arial Bold"/>
          <w:b/>
          <w:bCs/>
          <w:color w:val="CF4A02"/>
          <w:sz w:val="20"/>
          <w:szCs w:val="20"/>
        </w:rPr>
        <w:t xml:space="preserve">onsolidated and </w:t>
      </w:r>
      <w:r w:rsidRPr="002757B2">
        <w:rPr>
          <w:rFonts w:ascii="Arial Bold" w:eastAsia="Calibri" w:hAnsi="Arial Bold"/>
          <w:b/>
          <w:bCs/>
          <w:color w:val="CF4A02"/>
          <w:sz w:val="20"/>
          <w:szCs w:val="20"/>
        </w:rPr>
        <w:t>s</w:t>
      </w:r>
      <w:r w:rsidR="00D0685C" w:rsidRPr="002757B2">
        <w:rPr>
          <w:rFonts w:ascii="Arial Bold" w:eastAsia="Calibri" w:hAnsi="Arial Bold"/>
          <w:b/>
          <w:bCs/>
          <w:color w:val="CF4A02"/>
          <w:sz w:val="20"/>
          <w:szCs w:val="20"/>
        </w:rPr>
        <w:t xml:space="preserve">eparate </w:t>
      </w:r>
      <w:r w:rsidRPr="002757B2">
        <w:rPr>
          <w:rFonts w:ascii="Arial Bold" w:eastAsia="Calibri" w:hAnsi="Arial Bold"/>
          <w:b/>
          <w:bCs/>
          <w:color w:val="CF4A02"/>
          <w:sz w:val="20"/>
          <w:szCs w:val="20"/>
        </w:rPr>
        <w:t>f</w:t>
      </w:r>
      <w:r w:rsidR="00790517" w:rsidRPr="002757B2">
        <w:rPr>
          <w:rFonts w:ascii="Arial Bold" w:eastAsia="Calibri" w:hAnsi="Arial Bold"/>
          <w:b/>
          <w:bCs/>
          <w:color w:val="CF4A02"/>
          <w:sz w:val="20"/>
          <w:szCs w:val="20"/>
        </w:rPr>
        <w:t xml:space="preserve">inancial </w:t>
      </w:r>
      <w:r w:rsidRPr="002757B2">
        <w:rPr>
          <w:rFonts w:ascii="Arial Bold" w:eastAsia="Calibri" w:hAnsi="Arial Bold"/>
          <w:b/>
          <w:bCs/>
          <w:color w:val="CF4A02"/>
          <w:sz w:val="20"/>
          <w:szCs w:val="20"/>
        </w:rPr>
        <w:t>s</w:t>
      </w:r>
      <w:r w:rsidR="00790517" w:rsidRPr="002757B2">
        <w:rPr>
          <w:rFonts w:ascii="Arial Bold" w:eastAsia="Calibri" w:hAnsi="Arial Bold"/>
          <w:b/>
          <w:bCs/>
          <w:color w:val="CF4A02"/>
          <w:sz w:val="20"/>
          <w:szCs w:val="20"/>
        </w:rPr>
        <w:t>tatements</w:t>
      </w:r>
    </w:p>
    <w:p w14:paraId="7256C094" w14:textId="77777777" w:rsidR="003D3D27" w:rsidRPr="00EE17E9" w:rsidRDefault="003D3D27" w:rsidP="00F67AF3">
      <w:pPr>
        <w:pStyle w:val="Default"/>
        <w:jc w:val="thaiDistribute"/>
        <w:rPr>
          <w:rFonts w:eastAsia="Calibri"/>
          <w:b/>
          <w:bCs/>
          <w:color w:val="000000" w:themeColor="text1"/>
          <w:sz w:val="12"/>
          <w:szCs w:val="12"/>
        </w:rPr>
      </w:pPr>
    </w:p>
    <w:p w14:paraId="0526E08F" w14:textId="77777777" w:rsidR="00B91979" w:rsidRPr="002757B2" w:rsidRDefault="00B91979" w:rsidP="00F67AF3">
      <w:pPr>
        <w:pStyle w:val="Default"/>
        <w:jc w:val="thaiDistribute"/>
        <w:rPr>
          <w:color w:val="000000" w:themeColor="text1"/>
          <w:sz w:val="20"/>
          <w:szCs w:val="20"/>
        </w:rPr>
      </w:pPr>
      <w:r w:rsidRPr="002757B2">
        <w:rPr>
          <w:color w:val="000000" w:themeColor="text1"/>
          <w:sz w:val="20"/>
          <w:szCs w:val="20"/>
        </w:rPr>
        <w:t xml:space="preserve">My objectives are to obtain reasonable assurance about whether the </w:t>
      </w:r>
      <w:r w:rsidR="00E07F94" w:rsidRPr="002757B2">
        <w:rPr>
          <w:color w:val="000000" w:themeColor="text1"/>
          <w:sz w:val="20"/>
          <w:szCs w:val="20"/>
        </w:rPr>
        <w:t xml:space="preserve">consolidated and </w:t>
      </w:r>
      <w:r w:rsidR="006A1977" w:rsidRPr="002757B2">
        <w:rPr>
          <w:color w:val="000000" w:themeColor="text1"/>
          <w:sz w:val="20"/>
          <w:szCs w:val="20"/>
        </w:rPr>
        <w:t>separate</w:t>
      </w:r>
      <w:r w:rsidR="00900250" w:rsidRPr="002757B2">
        <w:rPr>
          <w:color w:val="000000" w:themeColor="text1"/>
          <w:sz w:val="20"/>
          <w:szCs w:val="20"/>
        </w:rPr>
        <w:t xml:space="preserve"> </w:t>
      </w:r>
      <w:r w:rsidRPr="002757B2">
        <w:rPr>
          <w:color w:val="000000" w:themeColor="text1"/>
          <w:sz w:val="20"/>
          <w:szCs w:val="20"/>
        </w:rPr>
        <w:t xml:space="preserve">financial statements as a whole are free from material misstatement, whether due to fraud or error, and to issue </w:t>
      </w:r>
      <w:r w:rsidRPr="00A92691">
        <w:rPr>
          <w:color w:val="000000" w:themeColor="text1"/>
          <w:spacing w:val="-4"/>
          <w:sz w:val="20"/>
          <w:szCs w:val="20"/>
        </w:rPr>
        <w:t>an auditor’s report that includes my opinion. Reasonable assurance is a high level of assurance, but is not</w:t>
      </w:r>
      <w:r w:rsidRPr="002757B2">
        <w:rPr>
          <w:color w:val="000000" w:themeColor="text1"/>
          <w:sz w:val="20"/>
          <w:szCs w:val="20"/>
        </w:rPr>
        <w:t xml:space="preserve"> a guarantee that an audit conducted in accordance with TSAs will always detect a material misstatement when it exists. Misstatements can arise from fraud or error and are considered material if, individually or in the aggregate, they could reasonably be expected to influence the economic decisions of users taken on the basis of these </w:t>
      </w:r>
      <w:r w:rsidR="00900250" w:rsidRPr="002757B2">
        <w:rPr>
          <w:color w:val="000000" w:themeColor="text1"/>
          <w:sz w:val="20"/>
          <w:szCs w:val="20"/>
        </w:rPr>
        <w:t xml:space="preserve">consolidated and </w:t>
      </w:r>
      <w:r w:rsidR="00D0685C" w:rsidRPr="002757B2">
        <w:rPr>
          <w:color w:val="000000" w:themeColor="text1"/>
          <w:sz w:val="20"/>
          <w:szCs w:val="20"/>
        </w:rPr>
        <w:t xml:space="preserve">separate </w:t>
      </w:r>
      <w:r w:rsidRPr="002757B2">
        <w:rPr>
          <w:color w:val="000000" w:themeColor="text1"/>
          <w:sz w:val="20"/>
          <w:szCs w:val="20"/>
        </w:rPr>
        <w:t>financial statements.</w:t>
      </w:r>
    </w:p>
    <w:p w14:paraId="3F818BEA" w14:textId="77777777" w:rsidR="00B91979" w:rsidRPr="002757B2" w:rsidRDefault="00B91979" w:rsidP="00F67AF3">
      <w:pPr>
        <w:pStyle w:val="Default"/>
        <w:jc w:val="thaiDistribute"/>
        <w:rPr>
          <w:color w:val="000000" w:themeColor="text1"/>
          <w:sz w:val="20"/>
          <w:szCs w:val="20"/>
        </w:rPr>
      </w:pPr>
    </w:p>
    <w:p w14:paraId="67E17229" w14:textId="77777777" w:rsidR="00B91979" w:rsidRPr="002757B2" w:rsidRDefault="00B91979" w:rsidP="00F67AF3">
      <w:pPr>
        <w:pStyle w:val="Default"/>
        <w:jc w:val="thaiDistribute"/>
        <w:rPr>
          <w:color w:val="000000" w:themeColor="text1"/>
          <w:sz w:val="20"/>
          <w:szCs w:val="20"/>
        </w:rPr>
      </w:pPr>
      <w:r w:rsidRPr="002757B2">
        <w:rPr>
          <w:color w:val="000000" w:themeColor="text1"/>
          <w:sz w:val="20"/>
          <w:szCs w:val="20"/>
        </w:rPr>
        <w:t>As part of an audit in accordance with TSAs, I exercise professional judg</w:t>
      </w:r>
      <w:r w:rsidR="002E62F0" w:rsidRPr="002757B2">
        <w:rPr>
          <w:color w:val="000000" w:themeColor="text1"/>
          <w:sz w:val="20"/>
          <w:szCs w:val="20"/>
        </w:rPr>
        <w:t>e</w:t>
      </w:r>
      <w:r w:rsidRPr="002757B2">
        <w:rPr>
          <w:color w:val="000000" w:themeColor="text1"/>
          <w:sz w:val="20"/>
          <w:szCs w:val="20"/>
        </w:rPr>
        <w:t>m</w:t>
      </w:r>
      <w:r w:rsidR="00A00386" w:rsidRPr="002757B2">
        <w:rPr>
          <w:color w:val="000000" w:themeColor="text1"/>
          <w:sz w:val="20"/>
          <w:szCs w:val="20"/>
        </w:rPr>
        <w:t xml:space="preserve">ent and maintain professional </w:t>
      </w:r>
      <w:r w:rsidR="007B209C" w:rsidRPr="002757B2">
        <w:rPr>
          <w:color w:val="000000" w:themeColor="text1"/>
          <w:sz w:val="20"/>
          <w:szCs w:val="20"/>
        </w:rPr>
        <w:t>s</w:t>
      </w:r>
      <w:r w:rsidR="007A3ACC" w:rsidRPr="002757B2">
        <w:rPr>
          <w:color w:val="000000" w:themeColor="text1"/>
          <w:sz w:val="20"/>
          <w:szCs w:val="20"/>
        </w:rPr>
        <w:t>c</w:t>
      </w:r>
      <w:r w:rsidRPr="002757B2">
        <w:rPr>
          <w:color w:val="000000" w:themeColor="text1"/>
          <w:sz w:val="20"/>
          <w:szCs w:val="20"/>
        </w:rPr>
        <w:t xml:space="preserve">epticism throughout the audit. I also: </w:t>
      </w:r>
    </w:p>
    <w:p w14:paraId="4EE58D26" w14:textId="77777777" w:rsidR="000D55B0" w:rsidRPr="00972181" w:rsidRDefault="000D55B0" w:rsidP="00F67AF3">
      <w:pPr>
        <w:pStyle w:val="Default"/>
        <w:jc w:val="thaiDistribute"/>
        <w:rPr>
          <w:color w:val="000000" w:themeColor="text1"/>
          <w:sz w:val="12"/>
          <w:szCs w:val="12"/>
        </w:rPr>
      </w:pPr>
    </w:p>
    <w:p w14:paraId="5764C71E" w14:textId="77777777" w:rsidR="0049535D" w:rsidRPr="002757B2" w:rsidRDefault="00FE6CF3" w:rsidP="00F67AF3">
      <w:pPr>
        <w:pStyle w:val="Default"/>
        <w:numPr>
          <w:ilvl w:val="0"/>
          <w:numId w:val="1"/>
        </w:numPr>
        <w:tabs>
          <w:tab w:val="clear" w:pos="720"/>
          <w:tab w:val="num" w:pos="540"/>
        </w:tabs>
        <w:ind w:left="540"/>
        <w:jc w:val="thaiDistribute"/>
        <w:rPr>
          <w:color w:val="000000" w:themeColor="text1"/>
          <w:sz w:val="20"/>
          <w:szCs w:val="20"/>
        </w:rPr>
      </w:pPr>
      <w:r w:rsidRPr="002757B2">
        <w:rPr>
          <w:color w:val="000000" w:themeColor="text1"/>
          <w:sz w:val="20"/>
          <w:szCs w:val="20"/>
        </w:rPr>
        <w:t>Identify and assess the risks of material misstatement of the</w:t>
      </w:r>
      <w:r w:rsidR="00900250" w:rsidRPr="002757B2">
        <w:rPr>
          <w:color w:val="000000" w:themeColor="text1"/>
          <w:sz w:val="20"/>
          <w:szCs w:val="20"/>
        </w:rPr>
        <w:t xml:space="preserve"> consolidated and </w:t>
      </w:r>
      <w:r w:rsidR="00D0685C" w:rsidRPr="002757B2">
        <w:rPr>
          <w:color w:val="000000" w:themeColor="text1"/>
          <w:sz w:val="20"/>
          <w:szCs w:val="20"/>
        </w:rPr>
        <w:t xml:space="preserve">separate </w:t>
      </w:r>
      <w:r w:rsidRPr="002757B2">
        <w:rPr>
          <w:color w:val="000000" w:themeColor="text1"/>
          <w:sz w:val="20"/>
          <w:szCs w:val="20"/>
        </w:rPr>
        <w:t xml:space="preserve">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50379B58" w14:textId="77777777" w:rsidR="00240078" w:rsidRPr="002757B2" w:rsidRDefault="00240078" w:rsidP="00F67AF3">
      <w:pPr>
        <w:pStyle w:val="Default"/>
        <w:ind w:left="540"/>
        <w:jc w:val="thaiDistribute"/>
        <w:rPr>
          <w:color w:val="000000" w:themeColor="text1"/>
          <w:sz w:val="12"/>
          <w:szCs w:val="12"/>
        </w:rPr>
      </w:pPr>
    </w:p>
    <w:p w14:paraId="004F69D2" w14:textId="77777777" w:rsidR="0049535D" w:rsidRPr="002757B2" w:rsidRDefault="00FE6CF3" w:rsidP="00F67AF3">
      <w:pPr>
        <w:pStyle w:val="Default"/>
        <w:numPr>
          <w:ilvl w:val="0"/>
          <w:numId w:val="1"/>
        </w:numPr>
        <w:tabs>
          <w:tab w:val="clear" w:pos="720"/>
          <w:tab w:val="num" w:pos="540"/>
        </w:tabs>
        <w:ind w:left="540"/>
        <w:jc w:val="thaiDistribute"/>
        <w:rPr>
          <w:color w:val="000000" w:themeColor="text1"/>
          <w:sz w:val="20"/>
          <w:szCs w:val="20"/>
        </w:rPr>
      </w:pPr>
      <w:r w:rsidRPr="002757B2">
        <w:rPr>
          <w:color w:val="000000" w:themeColor="text1"/>
          <w:sz w:val="20"/>
          <w:szCs w:val="20"/>
        </w:rPr>
        <w:t xml:space="preserve">Obtain an understanding of internal control relevant to the audit in order to design audit procedures that are appropriate in the circumstances, but not for the purpose of expressing an opinion on the effectiveness of the </w:t>
      </w:r>
      <w:r w:rsidR="00653860" w:rsidRPr="002757B2">
        <w:rPr>
          <w:color w:val="000000" w:themeColor="text1"/>
          <w:sz w:val="20"/>
          <w:szCs w:val="20"/>
        </w:rPr>
        <w:t>Group</w:t>
      </w:r>
      <w:r w:rsidR="00AA3D7F" w:rsidRPr="002757B2">
        <w:rPr>
          <w:color w:val="000000" w:themeColor="text1"/>
          <w:sz w:val="20"/>
          <w:szCs w:val="20"/>
        </w:rPr>
        <w:t>’s</w:t>
      </w:r>
      <w:r w:rsidR="00653860" w:rsidRPr="002757B2">
        <w:rPr>
          <w:color w:val="000000" w:themeColor="text1"/>
          <w:sz w:val="20"/>
          <w:szCs w:val="20"/>
        </w:rPr>
        <w:t xml:space="preserve"> and </w:t>
      </w:r>
      <w:r w:rsidR="007A3ACC" w:rsidRPr="002757B2">
        <w:rPr>
          <w:color w:val="000000" w:themeColor="text1"/>
          <w:sz w:val="20"/>
          <w:szCs w:val="20"/>
        </w:rPr>
        <w:t xml:space="preserve">the </w:t>
      </w:r>
      <w:r w:rsidRPr="002757B2">
        <w:rPr>
          <w:color w:val="000000" w:themeColor="text1"/>
          <w:sz w:val="20"/>
          <w:szCs w:val="20"/>
        </w:rPr>
        <w:t xml:space="preserve">Company’s internal control. </w:t>
      </w:r>
    </w:p>
    <w:p w14:paraId="019B5185" w14:textId="31642F76" w:rsidR="00EE17E9" w:rsidRDefault="00EE17E9">
      <w:pPr>
        <w:rPr>
          <w:rFonts w:ascii="Arial" w:hAnsi="Arial" w:cs="Arial"/>
          <w:color w:val="000000" w:themeColor="text1"/>
          <w:sz w:val="12"/>
          <w:szCs w:val="12"/>
        </w:rPr>
      </w:pPr>
      <w:r>
        <w:rPr>
          <w:color w:val="000000" w:themeColor="text1"/>
          <w:sz w:val="12"/>
          <w:szCs w:val="12"/>
        </w:rPr>
        <w:br w:type="page"/>
      </w:r>
    </w:p>
    <w:p w14:paraId="3E92FF95" w14:textId="77777777" w:rsidR="009E67FA" w:rsidRDefault="00FE6CF3" w:rsidP="00F67AF3">
      <w:pPr>
        <w:pStyle w:val="Default"/>
        <w:numPr>
          <w:ilvl w:val="0"/>
          <w:numId w:val="1"/>
        </w:numPr>
        <w:tabs>
          <w:tab w:val="clear" w:pos="720"/>
          <w:tab w:val="num" w:pos="540"/>
        </w:tabs>
        <w:ind w:left="540"/>
        <w:jc w:val="thaiDistribute"/>
        <w:rPr>
          <w:color w:val="000000" w:themeColor="text1"/>
          <w:sz w:val="20"/>
          <w:szCs w:val="20"/>
        </w:rPr>
      </w:pPr>
      <w:r w:rsidRPr="002757B2">
        <w:rPr>
          <w:color w:val="000000" w:themeColor="text1"/>
          <w:sz w:val="20"/>
          <w:szCs w:val="20"/>
        </w:rPr>
        <w:lastRenderedPageBreak/>
        <w:t xml:space="preserve">Evaluate the appropriateness of accounting policies used and the reasonableness of accounting estimates and related disclosures made by </w:t>
      </w:r>
      <w:r w:rsidR="00D0685C" w:rsidRPr="002757B2">
        <w:rPr>
          <w:color w:val="000000" w:themeColor="text1"/>
          <w:sz w:val="20"/>
          <w:szCs w:val="20"/>
        </w:rPr>
        <w:t>the directors</w:t>
      </w:r>
      <w:r w:rsidRPr="002757B2">
        <w:rPr>
          <w:color w:val="000000" w:themeColor="text1"/>
          <w:sz w:val="20"/>
          <w:szCs w:val="20"/>
        </w:rPr>
        <w:t xml:space="preserve">. </w:t>
      </w:r>
    </w:p>
    <w:p w14:paraId="19FD7A26" w14:textId="77777777" w:rsidR="00BF0E45" w:rsidRDefault="00FE6CF3" w:rsidP="00BF0E45">
      <w:pPr>
        <w:pStyle w:val="Default"/>
        <w:numPr>
          <w:ilvl w:val="0"/>
          <w:numId w:val="1"/>
        </w:numPr>
        <w:tabs>
          <w:tab w:val="clear" w:pos="720"/>
          <w:tab w:val="num" w:pos="540"/>
        </w:tabs>
        <w:ind w:left="540"/>
        <w:jc w:val="thaiDistribute"/>
        <w:rPr>
          <w:color w:val="000000" w:themeColor="text1"/>
          <w:sz w:val="20"/>
          <w:szCs w:val="20"/>
        </w:rPr>
      </w:pPr>
      <w:r w:rsidRPr="002757B2">
        <w:rPr>
          <w:color w:val="000000" w:themeColor="text1"/>
          <w:sz w:val="20"/>
          <w:szCs w:val="20"/>
        </w:rPr>
        <w:t xml:space="preserve">Conclude on the appropriateness of </w:t>
      </w:r>
      <w:r w:rsidR="00D0685C" w:rsidRPr="002757B2">
        <w:rPr>
          <w:color w:val="000000" w:themeColor="text1"/>
          <w:sz w:val="20"/>
          <w:szCs w:val="20"/>
        </w:rPr>
        <w:t>the directors’</w:t>
      </w:r>
      <w:r w:rsidRPr="002757B2">
        <w:rPr>
          <w:color w:val="000000" w:themeColor="text1"/>
          <w:sz w:val="20"/>
          <w:szCs w:val="20"/>
        </w:rPr>
        <w:t xml:space="preserve"> use of the going concern basis of accounting and, based on the audit evidence obtained, whether a material uncertainty exists related to events or conditions that may cast significant doubt on the </w:t>
      </w:r>
      <w:r w:rsidR="00900250" w:rsidRPr="002757B2">
        <w:rPr>
          <w:color w:val="000000" w:themeColor="text1"/>
          <w:sz w:val="20"/>
          <w:szCs w:val="20"/>
        </w:rPr>
        <w:t>Group</w:t>
      </w:r>
      <w:r w:rsidR="00AA3D7F" w:rsidRPr="002757B2">
        <w:rPr>
          <w:color w:val="000000" w:themeColor="text1"/>
          <w:sz w:val="20"/>
          <w:szCs w:val="20"/>
        </w:rPr>
        <w:t>’s</w:t>
      </w:r>
      <w:r w:rsidR="00900250" w:rsidRPr="002757B2">
        <w:rPr>
          <w:color w:val="000000" w:themeColor="text1"/>
          <w:sz w:val="20"/>
          <w:szCs w:val="20"/>
        </w:rPr>
        <w:t xml:space="preserve"> and </w:t>
      </w:r>
      <w:r w:rsidR="007A3ACC" w:rsidRPr="002757B2">
        <w:rPr>
          <w:color w:val="000000" w:themeColor="text1"/>
          <w:sz w:val="20"/>
          <w:szCs w:val="20"/>
        </w:rPr>
        <w:t xml:space="preserve">the </w:t>
      </w:r>
      <w:r w:rsidRPr="002757B2">
        <w:rPr>
          <w:color w:val="000000" w:themeColor="text1"/>
          <w:sz w:val="20"/>
          <w:szCs w:val="20"/>
        </w:rPr>
        <w:t xml:space="preserve">Company’s ability to continue as a going concern. If I conclude that a material uncertainty exists, I am required to draw attention </w:t>
      </w:r>
      <w:r w:rsidRPr="00A92691">
        <w:rPr>
          <w:color w:val="000000" w:themeColor="text1"/>
          <w:spacing w:val="-4"/>
          <w:sz w:val="20"/>
          <w:szCs w:val="20"/>
        </w:rPr>
        <w:t>in my auditor’s report to the related disclosures in the</w:t>
      </w:r>
      <w:r w:rsidR="00D11F81" w:rsidRPr="00A92691">
        <w:rPr>
          <w:color w:val="000000" w:themeColor="text1"/>
          <w:spacing w:val="-4"/>
          <w:sz w:val="20"/>
          <w:szCs w:val="20"/>
        </w:rPr>
        <w:t xml:space="preserve"> consolidated and </w:t>
      </w:r>
      <w:r w:rsidR="00D0685C" w:rsidRPr="00A92691">
        <w:rPr>
          <w:color w:val="000000" w:themeColor="text1"/>
          <w:spacing w:val="-4"/>
          <w:sz w:val="20"/>
          <w:szCs w:val="20"/>
        </w:rPr>
        <w:t xml:space="preserve">separate </w:t>
      </w:r>
      <w:r w:rsidRPr="00A92691">
        <w:rPr>
          <w:color w:val="000000" w:themeColor="text1"/>
          <w:spacing w:val="-4"/>
          <w:sz w:val="20"/>
          <w:szCs w:val="20"/>
        </w:rPr>
        <w:t>financial statements</w:t>
      </w:r>
      <w:r w:rsidRPr="002757B2">
        <w:rPr>
          <w:color w:val="000000" w:themeColor="text1"/>
          <w:sz w:val="20"/>
          <w:szCs w:val="20"/>
        </w:rPr>
        <w:t xml:space="preserve"> or, if such disclosures are inadequate, to modify my opinion. My conclusions are based on the audit evidence obtained up to the date of my auditor’s report. However, future events or conditions may cause the </w:t>
      </w:r>
      <w:r w:rsidR="00900250" w:rsidRPr="002757B2">
        <w:rPr>
          <w:color w:val="000000" w:themeColor="text1"/>
          <w:sz w:val="20"/>
          <w:szCs w:val="20"/>
        </w:rPr>
        <w:t xml:space="preserve">Group and </w:t>
      </w:r>
      <w:r w:rsidR="007A3ACC" w:rsidRPr="002757B2">
        <w:rPr>
          <w:color w:val="000000" w:themeColor="text1"/>
          <w:sz w:val="20"/>
          <w:szCs w:val="20"/>
        </w:rPr>
        <w:t xml:space="preserve">the </w:t>
      </w:r>
      <w:r w:rsidRPr="002757B2">
        <w:rPr>
          <w:color w:val="000000" w:themeColor="text1"/>
          <w:sz w:val="20"/>
          <w:szCs w:val="20"/>
        </w:rPr>
        <w:t>Company to cease to continue as a going concern</w:t>
      </w:r>
      <w:r w:rsidR="00BF0E45">
        <w:rPr>
          <w:color w:val="000000" w:themeColor="text1"/>
          <w:sz w:val="20"/>
          <w:szCs w:val="20"/>
        </w:rPr>
        <w:t>.</w:t>
      </w:r>
    </w:p>
    <w:p w14:paraId="2C43C9B7" w14:textId="77777777" w:rsidR="00BF0E45" w:rsidRPr="00BF0E45" w:rsidRDefault="00BF0E45" w:rsidP="00BF0E45">
      <w:pPr>
        <w:pStyle w:val="Default"/>
        <w:jc w:val="thaiDistribute"/>
        <w:rPr>
          <w:color w:val="000000" w:themeColor="text1"/>
          <w:sz w:val="12"/>
          <w:szCs w:val="12"/>
        </w:rPr>
      </w:pPr>
    </w:p>
    <w:p w14:paraId="3F9E3704" w14:textId="77777777" w:rsidR="00BF0E45" w:rsidRPr="002757B2" w:rsidRDefault="00BF0E45" w:rsidP="00BF0E45">
      <w:pPr>
        <w:pStyle w:val="Default"/>
        <w:numPr>
          <w:ilvl w:val="0"/>
          <w:numId w:val="1"/>
        </w:numPr>
        <w:tabs>
          <w:tab w:val="clear" w:pos="720"/>
          <w:tab w:val="num" w:pos="540"/>
        </w:tabs>
        <w:ind w:left="540"/>
        <w:jc w:val="thaiDistribute"/>
        <w:rPr>
          <w:color w:val="000000" w:themeColor="text1"/>
          <w:sz w:val="20"/>
          <w:szCs w:val="20"/>
        </w:rPr>
      </w:pPr>
      <w:r w:rsidRPr="002757B2">
        <w:rPr>
          <w:color w:val="000000" w:themeColor="text1"/>
          <w:sz w:val="20"/>
          <w:szCs w:val="20"/>
        </w:rPr>
        <w:t xml:space="preserve">Evaluate the overall presentation, structure and content of the consolidated and separate financial </w:t>
      </w:r>
      <w:r w:rsidRPr="00A92691">
        <w:rPr>
          <w:color w:val="000000" w:themeColor="text1"/>
          <w:spacing w:val="-4"/>
          <w:sz w:val="20"/>
          <w:szCs w:val="20"/>
        </w:rPr>
        <w:t>statements, including the disclosures, and whether the consolidated and separate financial statements</w:t>
      </w:r>
      <w:r w:rsidRPr="002757B2">
        <w:rPr>
          <w:color w:val="000000" w:themeColor="text1"/>
          <w:sz w:val="20"/>
          <w:szCs w:val="20"/>
        </w:rPr>
        <w:t xml:space="preserve"> represent the underlying transactions and events in a manner that achieves fair presentation. </w:t>
      </w:r>
    </w:p>
    <w:p w14:paraId="33B15D82" w14:textId="77777777" w:rsidR="00BF0E45" w:rsidRPr="002757B2" w:rsidRDefault="00BF0E45" w:rsidP="00BF0E45">
      <w:pPr>
        <w:pStyle w:val="Default"/>
        <w:ind w:left="540"/>
        <w:jc w:val="thaiDistribute"/>
        <w:rPr>
          <w:color w:val="000000" w:themeColor="text1"/>
          <w:sz w:val="12"/>
          <w:szCs w:val="12"/>
        </w:rPr>
      </w:pPr>
    </w:p>
    <w:p w14:paraId="365D21E3" w14:textId="77777777" w:rsidR="00BF0E45" w:rsidRPr="002757B2" w:rsidRDefault="00BF0E45" w:rsidP="00BF0E45">
      <w:pPr>
        <w:pStyle w:val="Default"/>
        <w:numPr>
          <w:ilvl w:val="0"/>
          <w:numId w:val="1"/>
        </w:numPr>
        <w:tabs>
          <w:tab w:val="clear" w:pos="720"/>
          <w:tab w:val="num" w:pos="540"/>
        </w:tabs>
        <w:ind w:left="540"/>
        <w:jc w:val="thaiDistribute"/>
        <w:rPr>
          <w:color w:val="000000" w:themeColor="text1"/>
          <w:sz w:val="20"/>
          <w:szCs w:val="20"/>
        </w:rPr>
      </w:pPr>
      <w:r w:rsidRPr="002757B2">
        <w:rPr>
          <w:color w:val="000000" w:themeColor="text1"/>
          <w:sz w:val="20"/>
          <w:szCs w:val="20"/>
        </w:rPr>
        <w:t xml:space="preserve">Obtain sufficient appropriate audit evidence regarding the financial information of the entities or business activities within the Group to express an opinion on the consolidated financial statements. I am responsible for the direction, supervision and performance of the group audit. I remain solely responsible for my audit opinion. </w:t>
      </w:r>
    </w:p>
    <w:p w14:paraId="2DE9DD41" w14:textId="77777777" w:rsidR="00BF0E45" w:rsidRPr="002757B2" w:rsidRDefault="00BF0E45" w:rsidP="00BF0E45">
      <w:pPr>
        <w:pStyle w:val="Default"/>
        <w:jc w:val="thaiDistribute"/>
        <w:rPr>
          <w:color w:val="000000" w:themeColor="text1"/>
          <w:sz w:val="20"/>
          <w:szCs w:val="20"/>
        </w:rPr>
      </w:pPr>
    </w:p>
    <w:p w14:paraId="7FD9CDA4" w14:textId="77777777" w:rsidR="00BF0E45" w:rsidRPr="002757B2" w:rsidRDefault="00BF0E45" w:rsidP="00BF0E45">
      <w:pPr>
        <w:pStyle w:val="Default"/>
        <w:jc w:val="thaiDistribute"/>
        <w:rPr>
          <w:color w:val="000000" w:themeColor="text1"/>
          <w:sz w:val="20"/>
          <w:szCs w:val="20"/>
        </w:rPr>
      </w:pPr>
      <w:r w:rsidRPr="002757B2">
        <w:rPr>
          <w:color w:val="000000" w:themeColor="text1"/>
          <w:sz w:val="20"/>
          <w:szCs w:val="20"/>
        </w:rPr>
        <w:t xml:space="preserve">I communicate with the audit committee regarding, among other matters, the planned scope and timing </w:t>
      </w:r>
      <w:r w:rsidRPr="00A92691">
        <w:rPr>
          <w:color w:val="000000" w:themeColor="text1"/>
          <w:spacing w:val="-4"/>
          <w:sz w:val="20"/>
          <w:szCs w:val="20"/>
        </w:rPr>
        <w:t>of the audit and significant audit findings, including any significant deficiencies in internal control that I identify</w:t>
      </w:r>
      <w:r w:rsidRPr="002757B2">
        <w:rPr>
          <w:color w:val="000000" w:themeColor="text1"/>
          <w:sz w:val="20"/>
          <w:szCs w:val="20"/>
        </w:rPr>
        <w:t xml:space="preserve"> during my audit. </w:t>
      </w:r>
    </w:p>
    <w:p w14:paraId="61B31446" w14:textId="77777777" w:rsidR="00BF0E45" w:rsidRPr="002757B2" w:rsidRDefault="00BF0E45" w:rsidP="00BF0E45">
      <w:pPr>
        <w:pStyle w:val="Default"/>
        <w:jc w:val="thaiDistribute"/>
        <w:rPr>
          <w:color w:val="000000" w:themeColor="text1"/>
          <w:sz w:val="20"/>
          <w:szCs w:val="20"/>
        </w:rPr>
      </w:pPr>
    </w:p>
    <w:p w14:paraId="2E1D9979" w14:textId="77777777" w:rsidR="00BF0E45" w:rsidRPr="002757B2" w:rsidRDefault="00BF0E45" w:rsidP="00BF0E45">
      <w:pPr>
        <w:pStyle w:val="Default"/>
        <w:jc w:val="thaiDistribute"/>
        <w:rPr>
          <w:color w:val="000000" w:themeColor="text1"/>
          <w:sz w:val="20"/>
          <w:szCs w:val="20"/>
        </w:rPr>
      </w:pPr>
      <w:r w:rsidRPr="002757B2">
        <w:rPr>
          <w:color w:val="000000" w:themeColor="text1"/>
          <w:sz w:val="20"/>
          <w:szCs w:val="20"/>
        </w:rPr>
        <w:t>I also provide the audit committee with a statement that I have complied with relevant ethical requirements regarding independence, and to communicate with them all relationships and other matters that may reasonably be thought to bear on my independence, and where applicable, related safeguards.</w:t>
      </w:r>
    </w:p>
    <w:p w14:paraId="40957AD8" w14:textId="77777777" w:rsidR="00BF0E45" w:rsidRPr="002757B2" w:rsidRDefault="00BF0E45" w:rsidP="00BF0E45">
      <w:pPr>
        <w:pStyle w:val="Default"/>
        <w:jc w:val="thaiDistribute"/>
        <w:rPr>
          <w:color w:val="000000" w:themeColor="text1"/>
          <w:sz w:val="20"/>
          <w:szCs w:val="20"/>
        </w:rPr>
      </w:pPr>
    </w:p>
    <w:p w14:paraId="419679AD" w14:textId="77777777" w:rsidR="00BF0E45" w:rsidRPr="002757B2" w:rsidRDefault="00BF0E45" w:rsidP="00BF0E45">
      <w:pPr>
        <w:pStyle w:val="Default"/>
        <w:jc w:val="thaiDistribute"/>
        <w:rPr>
          <w:color w:val="000000" w:themeColor="text1"/>
          <w:sz w:val="20"/>
          <w:szCs w:val="20"/>
        </w:rPr>
      </w:pPr>
      <w:r w:rsidRPr="002757B2">
        <w:rPr>
          <w:color w:val="000000" w:themeColor="text1"/>
          <w:sz w:val="20"/>
          <w:szCs w:val="20"/>
        </w:rPr>
        <w:t xml:space="preserve">From the matters communicated with the audit committee, I determine those matters that were of most significance in the audit of the consolidated and separate financial statements of the current period and are therefore the key audit matters. I describe these matters in my auditor’s report unless law or regulation precludes public disclosure about the matter or when, in extremely rare circumstances, I determine that a matter should not be communicated in my report because the adverse consequences of doing so would reasonably be expected to outweigh the public interest benefits of such communication. </w:t>
      </w:r>
    </w:p>
    <w:p w14:paraId="44C6A715" w14:textId="77777777" w:rsidR="00BF0E45" w:rsidRPr="002757B2" w:rsidRDefault="00BF0E45" w:rsidP="00BF0E45">
      <w:pPr>
        <w:pStyle w:val="Default"/>
        <w:rPr>
          <w:color w:val="000000" w:themeColor="text1"/>
          <w:sz w:val="20"/>
          <w:szCs w:val="20"/>
        </w:rPr>
      </w:pPr>
    </w:p>
    <w:p w14:paraId="1404A42D" w14:textId="77777777" w:rsidR="00BF0E45" w:rsidRPr="002757B2" w:rsidRDefault="00BF0E45" w:rsidP="00BF0E45">
      <w:pPr>
        <w:suppressAutoHyphens/>
        <w:spacing w:after="0" w:line="240" w:lineRule="auto"/>
        <w:rPr>
          <w:rFonts w:ascii="Arial" w:hAnsi="Arial" w:cs="Arial"/>
          <w:color w:val="000000" w:themeColor="text1"/>
          <w:sz w:val="20"/>
          <w:szCs w:val="20"/>
          <w:lang w:val="en-US"/>
        </w:rPr>
      </w:pPr>
    </w:p>
    <w:p w14:paraId="111B1A22" w14:textId="77777777" w:rsidR="00BF0E45" w:rsidRPr="002757B2" w:rsidRDefault="00BF0E45" w:rsidP="00BF0E45">
      <w:pPr>
        <w:suppressAutoHyphens/>
        <w:spacing w:after="0" w:line="240" w:lineRule="auto"/>
        <w:rPr>
          <w:rFonts w:ascii="Arial" w:hAnsi="Arial" w:cs="Arial"/>
          <w:color w:val="000000" w:themeColor="text1"/>
          <w:sz w:val="20"/>
          <w:szCs w:val="20"/>
          <w:lang w:val="en-US"/>
        </w:rPr>
      </w:pPr>
      <w:r w:rsidRPr="002757B2">
        <w:rPr>
          <w:rFonts w:ascii="Arial" w:hAnsi="Arial" w:cs="Arial"/>
          <w:color w:val="000000" w:themeColor="text1"/>
          <w:sz w:val="20"/>
          <w:szCs w:val="20"/>
          <w:lang w:val="en-US"/>
        </w:rPr>
        <w:t>PricewaterhouseCoopers ABAS Ltd.</w:t>
      </w:r>
    </w:p>
    <w:p w14:paraId="57C63E47" w14:textId="77777777" w:rsidR="00BF0E45" w:rsidRPr="002757B2" w:rsidRDefault="00BF0E45" w:rsidP="00BF0E45">
      <w:pPr>
        <w:pStyle w:val="Default"/>
        <w:rPr>
          <w:color w:val="000000" w:themeColor="text1"/>
          <w:sz w:val="20"/>
          <w:szCs w:val="20"/>
        </w:rPr>
      </w:pPr>
    </w:p>
    <w:p w14:paraId="6B4FFEE9" w14:textId="77777777" w:rsidR="00BF0E45" w:rsidRPr="002757B2" w:rsidRDefault="00BF0E45" w:rsidP="00BF0E45">
      <w:pPr>
        <w:suppressAutoHyphens/>
        <w:spacing w:after="0" w:line="240" w:lineRule="auto"/>
        <w:rPr>
          <w:rFonts w:ascii="Arial" w:hAnsi="Arial" w:cs="Arial"/>
          <w:color w:val="000000" w:themeColor="text1"/>
          <w:sz w:val="20"/>
          <w:szCs w:val="20"/>
        </w:rPr>
      </w:pPr>
    </w:p>
    <w:p w14:paraId="76F317AB" w14:textId="77777777" w:rsidR="00BF0E45" w:rsidRPr="002757B2" w:rsidRDefault="00BF0E45" w:rsidP="00BF0E45">
      <w:pPr>
        <w:suppressAutoHyphens/>
        <w:spacing w:after="0" w:line="240" w:lineRule="auto"/>
        <w:rPr>
          <w:rFonts w:ascii="Arial" w:hAnsi="Arial" w:cs="Arial"/>
          <w:color w:val="000000" w:themeColor="text1"/>
          <w:sz w:val="20"/>
          <w:szCs w:val="20"/>
        </w:rPr>
      </w:pPr>
    </w:p>
    <w:p w14:paraId="66DFF208" w14:textId="77777777" w:rsidR="00BF0E45" w:rsidRPr="002757B2" w:rsidRDefault="00BF0E45" w:rsidP="00BF0E45">
      <w:pPr>
        <w:suppressAutoHyphens/>
        <w:spacing w:after="0" w:line="240" w:lineRule="auto"/>
        <w:rPr>
          <w:rFonts w:ascii="Arial" w:hAnsi="Arial" w:cs="Arial"/>
          <w:color w:val="000000" w:themeColor="text1"/>
          <w:sz w:val="20"/>
          <w:szCs w:val="20"/>
        </w:rPr>
      </w:pPr>
    </w:p>
    <w:p w14:paraId="385500F0" w14:textId="77777777" w:rsidR="00BF0E45" w:rsidRPr="002757B2" w:rsidRDefault="00BF0E45" w:rsidP="00BF0E45">
      <w:pPr>
        <w:suppressAutoHyphens/>
        <w:spacing w:after="0" w:line="240" w:lineRule="auto"/>
        <w:rPr>
          <w:rFonts w:ascii="Arial" w:hAnsi="Arial" w:cs="Arial"/>
          <w:color w:val="000000" w:themeColor="text1"/>
          <w:sz w:val="20"/>
          <w:szCs w:val="20"/>
        </w:rPr>
      </w:pPr>
    </w:p>
    <w:p w14:paraId="3011BD79" w14:textId="77777777" w:rsidR="00BF0E45" w:rsidRPr="002757B2" w:rsidRDefault="00BF0E45" w:rsidP="00BF0E45">
      <w:pPr>
        <w:suppressAutoHyphens/>
        <w:spacing w:after="0" w:line="240" w:lineRule="auto"/>
        <w:rPr>
          <w:rFonts w:ascii="Arial" w:hAnsi="Arial" w:cs="Arial"/>
          <w:color w:val="000000" w:themeColor="text1"/>
          <w:sz w:val="20"/>
          <w:szCs w:val="20"/>
        </w:rPr>
      </w:pPr>
    </w:p>
    <w:p w14:paraId="339E8CF8" w14:textId="77777777" w:rsidR="00BF0E45" w:rsidRPr="002757B2" w:rsidRDefault="00BF0E45" w:rsidP="00BF0E45">
      <w:pPr>
        <w:suppressAutoHyphens/>
        <w:spacing w:after="0" w:line="240" w:lineRule="auto"/>
        <w:rPr>
          <w:rFonts w:ascii="Arial" w:hAnsi="Arial" w:cs="Arial"/>
          <w:color w:val="000000" w:themeColor="text1"/>
          <w:sz w:val="20"/>
          <w:szCs w:val="20"/>
        </w:rPr>
      </w:pPr>
    </w:p>
    <w:p w14:paraId="6492E0E8" w14:textId="0B5FB9EB" w:rsidR="00BF0E45" w:rsidRPr="00E96C62" w:rsidRDefault="00CA1C5C" w:rsidP="00BF0E45">
      <w:pPr>
        <w:suppressAutoHyphens/>
        <w:spacing w:after="0" w:line="240" w:lineRule="auto"/>
        <w:rPr>
          <w:rFonts w:ascii="Arial" w:hAnsi="Arial" w:cs="Arial"/>
          <w:b/>
          <w:bCs/>
          <w:sz w:val="20"/>
          <w:szCs w:val="20"/>
          <w:lang w:val="en-US"/>
        </w:rPr>
      </w:pPr>
      <w:r>
        <w:rPr>
          <w:rFonts w:ascii="Arial" w:hAnsi="Arial" w:cs="Browallia New"/>
          <w:b/>
          <w:bCs/>
          <w:sz w:val="20"/>
          <w:szCs w:val="25"/>
        </w:rPr>
        <w:t xml:space="preserve">Boonrueng </w:t>
      </w:r>
      <w:r w:rsidR="00C15B62">
        <w:rPr>
          <w:rFonts w:ascii="Arial" w:hAnsi="Arial" w:cs="Browallia New"/>
          <w:b/>
          <w:bCs/>
          <w:sz w:val="20"/>
          <w:szCs w:val="25"/>
        </w:rPr>
        <w:t xml:space="preserve"> </w:t>
      </w:r>
      <w:r>
        <w:rPr>
          <w:rFonts w:ascii="Arial" w:hAnsi="Arial" w:cs="Browallia New"/>
          <w:b/>
          <w:bCs/>
          <w:sz w:val="20"/>
          <w:szCs w:val="25"/>
        </w:rPr>
        <w:t>Lerdwiseswit</w:t>
      </w:r>
      <w:r w:rsidR="00BF0E45" w:rsidRPr="00E96C62">
        <w:rPr>
          <w:rFonts w:ascii="Arial" w:hAnsi="Arial" w:cs="Arial"/>
          <w:b/>
          <w:bCs/>
          <w:sz w:val="20"/>
          <w:szCs w:val="20"/>
          <w:lang w:val="en-US"/>
        </w:rPr>
        <w:t xml:space="preserve"> </w:t>
      </w:r>
    </w:p>
    <w:p w14:paraId="71CB03D0" w14:textId="5BA38C83" w:rsidR="00BF0E45" w:rsidRPr="00E96C62" w:rsidRDefault="00BF0E45" w:rsidP="00BF0E45">
      <w:pPr>
        <w:suppressAutoHyphens/>
        <w:spacing w:after="0" w:line="240" w:lineRule="auto"/>
        <w:rPr>
          <w:rFonts w:ascii="Arial" w:hAnsi="Arial" w:cs="Arial"/>
          <w:sz w:val="20"/>
          <w:szCs w:val="20"/>
          <w:lang w:val="en-US"/>
        </w:rPr>
      </w:pPr>
      <w:r w:rsidRPr="00E96C62">
        <w:rPr>
          <w:rFonts w:ascii="Arial" w:hAnsi="Arial" w:cs="Arial"/>
          <w:sz w:val="20"/>
          <w:szCs w:val="20"/>
          <w:lang w:val="en-US"/>
        </w:rPr>
        <w:t xml:space="preserve">Certified Public Accountant (Thailand) No. </w:t>
      </w:r>
      <w:r w:rsidR="00A366A9" w:rsidRPr="00A366A9">
        <w:rPr>
          <w:rFonts w:ascii="Arial" w:hAnsi="Arial" w:cs="Arial"/>
          <w:sz w:val="20"/>
          <w:szCs w:val="20"/>
        </w:rPr>
        <w:t>6552</w:t>
      </w:r>
    </w:p>
    <w:p w14:paraId="145E331C" w14:textId="77777777" w:rsidR="00BF0E45" w:rsidRPr="00E96C62" w:rsidRDefault="00BF0E45" w:rsidP="00BF0E45">
      <w:pPr>
        <w:suppressAutoHyphens/>
        <w:spacing w:after="0" w:line="240" w:lineRule="auto"/>
        <w:rPr>
          <w:rFonts w:ascii="Arial" w:hAnsi="Arial" w:cs="Arial"/>
          <w:sz w:val="20"/>
          <w:szCs w:val="20"/>
          <w:lang w:val="en-US"/>
        </w:rPr>
      </w:pPr>
      <w:r w:rsidRPr="00E96C62">
        <w:rPr>
          <w:rFonts w:ascii="Arial" w:hAnsi="Arial" w:cs="Arial"/>
          <w:sz w:val="20"/>
          <w:szCs w:val="20"/>
          <w:lang w:val="en-US"/>
        </w:rPr>
        <w:t>Bangkok</w:t>
      </w:r>
    </w:p>
    <w:p w14:paraId="0F2DE58A" w14:textId="4A701413" w:rsidR="00EE17E9" w:rsidRDefault="00A366A9" w:rsidP="00BF0E45">
      <w:pPr>
        <w:pStyle w:val="Default"/>
        <w:jc w:val="thaiDistribute"/>
        <w:rPr>
          <w:sz w:val="20"/>
          <w:szCs w:val="20"/>
          <w:lang w:val="en-US"/>
        </w:rPr>
      </w:pPr>
      <w:r w:rsidRPr="00A366A9">
        <w:rPr>
          <w:sz w:val="20"/>
          <w:szCs w:val="20"/>
        </w:rPr>
        <w:t>23</w:t>
      </w:r>
      <w:r w:rsidR="00CA1C5C">
        <w:rPr>
          <w:sz w:val="20"/>
          <w:szCs w:val="20"/>
          <w:lang w:val="en-US"/>
        </w:rPr>
        <w:t xml:space="preserve"> February</w:t>
      </w:r>
      <w:r w:rsidR="00BF0E45">
        <w:rPr>
          <w:sz w:val="20"/>
          <w:szCs w:val="20"/>
          <w:lang w:val="en-US"/>
        </w:rPr>
        <w:t xml:space="preserve"> </w:t>
      </w:r>
      <w:r w:rsidRPr="00A366A9">
        <w:rPr>
          <w:sz w:val="20"/>
          <w:szCs w:val="20"/>
        </w:rPr>
        <w:t>2024</w:t>
      </w:r>
    </w:p>
    <w:p w14:paraId="6E7DC092" w14:textId="77777777" w:rsidR="00226E80" w:rsidRPr="00BF0E45" w:rsidRDefault="00226E80" w:rsidP="00BF0E45">
      <w:pPr>
        <w:pStyle w:val="Default"/>
        <w:jc w:val="thaiDistribute"/>
        <w:rPr>
          <w:color w:val="000000" w:themeColor="text1"/>
          <w:sz w:val="20"/>
          <w:szCs w:val="20"/>
        </w:rPr>
      </w:pPr>
    </w:p>
    <w:p w14:paraId="07E6F95C" w14:textId="77777777" w:rsidR="00254692" w:rsidRPr="002757B2" w:rsidRDefault="00254692">
      <w:pPr>
        <w:suppressAutoHyphens/>
        <w:spacing w:after="0" w:line="240" w:lineRule="auto"/>
        <w:rPr>
          <w:rFonts w:ascii="Arial" w:hAnsi="Arial" w:cs="Arial"/>
          <w:i/>
          <w:iCs/>
          <w:color w:val="000000" w:themeColor="text1"/>
          <w:sz w:val="20"/>
          <w:szCs w:val="20"/>
        </w:rPr>
        <w:sectPr w:rsidR="00254692" w:rsidRPr="002757B2" w:rsidSect="00204FB3">
          <w:headerReference w:type="default" r:id="rId14"/>
          <w:pgSz w:w="11909" w:h="16834" w:code="9"/>
          <w:pgMar w:top="2880" w:right="720" w:bottom="720" w:left="1987" w:header="706" w:footer="706" w:gutter="0"/>
          <w:cols w:space="708"/>
          <w:docGrid w:linePitch="360"/>
        </w:sectPr>
      </w:pPr>
    </w:p>
    <w:p w14:paraId="42F902FB" w14:textId="5385C5D8" w:rsidR="009164FB" w:rsidRPr="00A1411C" w:rsidRDefault="00BF0E45" w:rsidP="00972181">
      <w:pPr>
        <w:pStyle w:val="Caption"/>
        <w:spacing w:line="240" w:lineRule="auto"/>
        <w:ind w:left="720"/>
        <w:rPr>
          <w:rFonts w:ascii="Arial" w:hAnsi="Arial" w:cs="Arial"/>
          <w:sz w:val="22"/>
          <w:szCs w:val="22"/>
          <w:lang w:val="en-GB"/>
        </w:rPr>
      </w:pPr>
      <w:r w:rsidRPr="00A1411C">
        <w:rPr>
          <w:rFonts w:ascii="Arial" w:hAnsi="Arial" w:cs="Arial"/>
          <w:sz w:val="22"/>
          <w:szCs w:val="22"/>
        </w:rPr>
        <w:lastRenderedPageBreak/>
        <w:t xml:space="preserve">ENERGY ABSOLUTE </w:t>
      </w:r>
      <w:r w:rsidR="009164FB" w:rsidRPr="00A1411C">
        <w:rPr>
          <w:rFonts w:ascii="Arial" w:hAnsi="Arial" w:cs="Arial"/>
          <w:sz w:val="22"/>
          <w:szCs w:val="22"/>
          <w:lang w:val="en-GB"/>
        </w:rPr>
        <w:t>PUBLIC COMPANY LIMITED</w:t>
      </w:r>
    </w:p>
    <w:p w14:paraId="65F438BD" w14:textId="77777777" w:rsidR="009164FB" w:rsidRPr="00A1411C" w:rsidRDefault="009164FB" w:rsidP="00972181">
      <w:pPr>
        <w:suppressAutoHyphens/>
        <w:spacing w:after="0" w:line="240" w:lineRule="auto"/>
        <w:ind w:left="720"/>
        <w:rPr>
          <w:rFonts w:ascii="Arial" w:hAnsi="Arial" w:cs="Arial"/>
          <w:b/>
          <w:bCs/>
          <w:szCs w:val="22"/>
        </w:rPr>
      </w:pPr>
    </w:p>
    <w:p w14:paraId="65319787" w14:textId="77777777" w:rsidR="009164FB" w:rsidRPr="00A1411C" w:rsidRDefault="009164FB" w:rsidP="00972181">
      <w:pPr>
        <w:suppressAutoHyphens/>
        <w:spacing w:after="0" w:line="240" w:lineRule="auto"/>
        <w:ind w:left="720"/>
        <w:rPr>
          <w:rFonts w:ascii="Arial" w:hAnsi="Arial" w:cs="Arial"/>
          <w:b/>
          <w:bCs/>
          <w:szCs w:val="22"/>
        </w:rPr>
      </w:pPr>
    </w:p>
    <w:p w14:paraId="3A8F1353" w14:textId="77777777" w:rsidR="009164FB" w:rsidRPr="00A1411C" w:rsidRDefault="009164FB" w:rsidP="00972181">
      <w:pPr>
        <w:keepNext/>
        <w:spacing w:after="0" w:line="240" w:lineRule="auto"/>
        <w:ind w:left="720"/>
        <w:rPr>
          <w:rFonts w:ascii="Arial" w:hAnsi="Arial" w:cs="Arial"/>
          <w:b/>
          <w:bCs/>
          <w:szCs w:val="22"/>
        </w:rPr>
      </w:pPr>
      <w:r w:rsidRPr="00A1411C">
        <w:rPr>
          <w:rFonts w:ascii="Arial" w:hAnsi="Arial" w:cs="Arial"/>
          <w:b/>
          <w:bCs/>
          <w:szCs w:val="22"/>
        </w:rPr>
        <w:t>CONSOLIDATED AND SEPARATE FINANCIAL STATEMENTS</w:t>
      </w:r>
    </w:p>
    <w:p w14:paraId="1DE5259B" w14:textId="77777777" w:rsidR="009164FB" w:rsidRPr="00A1411C" w:rsidRDefault="009164FB" w:rsidP="00972181">
      <w:pPr>
        <w:suppressAutoHyphens/>
        <w:spacing w:after="0" w:line="240" w:lineRule="auto"/>
        <w:ind w:left="720"/>
        <w:rPr>
          <w:rFonts w:ascii="Arial" w:hAnsi="Arial" w:cs="Arial"/>
          <w:b/>
          <w:bCs/>
          <w:szCs w:val="22"/>
        </w:rPr>
      </w:pPr>
    </w:p>
    <w:p w14:paraId="47A1E3C8" w14:textId="272DDCD7" w:rsidR="00C46DA4" w:rsidRPr="00A1411C" w:rsidRDefault="00A366A9" w:rsidP="00972181">
      <w:pPr>
        <w:suppressAutoHyphens/>
        <w:spacing w:after="0" w:line="240" w:lineRule="auto"/>
        <w:ind w:left="720"/>
        <w:rPr>
          <w:rFonts w:ascii="Arial" w:hAnsi="Arial" w:cs="Arial"/>
          <w:szCs w:val="22"/>
        </w:rPr>
      </w:pPr>
      <w:r w:rsidRPr="00A366A9">
        <w:rPr>
          <w:rFonts w:ascii="Arial" w:hAnsi="Arial" w:cs="Arial"/>
          <w:b/>
          <w:bCs/>
          <w:szCs w:val="22"/>
        </w:rPr>
        <w:t>31</w:t>
      </w:r>
      <w:r w:rsidR="00BF0E45" w:rsidRPr="00A1411C">
        <w:rPr>
          <w:rFonts w:ascii="Arial" w:hAnsi="Arial" w:cs="Arial"/>
          <w:b/>
          <w:bCs/>
          <w:szCs w:val="22"/>
        </w:rPr>
        <w:t xml:space="preserve"> DECEMBER </w:t>
      </w:r>
      <w:r w:rsidRPr="00A366A9">
        <w:rPr>
          <w:rFonts w:ascii="Arial" w:hAnsi="Arial" w:cs="Arial"/>
          <w:b/>
          <w:bCs/>
          <w:szCs w:val="22"/>
        </w:rPr>
        <w:t>2023</w:t>
      </w:r>
    </w:p>
    <w:sectPr w:rsidR="00C46DA4" w:rsidRPr="00A1411C" w:rsidSect="00C15B62">
      <w:pgSz w:w="11909" w:h="16834" w:code="9"/>
      <w:pgMar w:top="4176" w:right="2880" w:bottom="1008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1EB1" w14:textId="77777777" w:rsidR="00D843AF" w:rsidRDefault="00D843AF" w:rsidP="001D338E">
      <w:pPr>
        <w:spacing w:after="0" w:line="240" w:lineRule="auto"/>
      </w:pPr>
      <w:r>
        <w:separator/>
      </w:r>
    </w:p>
  </w:endnote>
  <w:endnote w:type="continuationSeparator" w:id="0">
    <w:p w14:paraId="0B0989BE" w14:textId="77777777" w:rsidR="00D843AF" w:rsidRDefault="00D843AF" w:rsidP="001D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6D19" w14:textId="77777777" w:rsidR="00544333" w:rsidRDefault="00544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B0B6" w14:textId="77777777" w:rsidR="00544333" w:rsidRDefault="00544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7454" w14:textId="77777777" w:rsidR="00544333" w:rsidRDefault="00544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EB2D" w14:textId="77777777" w:rsidR="00D843AF" w:rsidRDefault="00D843AF" w:rsidP="001D338E">
      <w:pPr>
        <w:spacing w:after="0" w:line="240" w:lineRule="auto"/>
      </w:pPr>
      <w:r>
        <w:separator/>
      </w:r>
    </w:p>
  </w:footnote>
  <w:footnote w:type="continuationSeparator" w:id="0">
    <w:p w14:paraId="2E0F3448" w14:textId="77777777" w:rsidR="00D843AF" w:rsidRDefault="00D843AF" w:rsidP="001D3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6C05" w14:textId="77777777" w:rsidR="00544333" w:rsidRDefault="00544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BE61" w14:textId="284F0D20" w:rsidR="00FA6ED3" w:rsidRPr="001B0AB1" w:rsidRDefault="00FA6ED3" w:rsidP="0028268F">
    <w:pPr>
      <w:pStyle w:val="Default"/>
      <w:jc w:val="thaiDistribute"/>
      <w:rPr>
        <w:color w:val="FFFFFF" w:themeColor="background1"/>
      </w:rPr>
    </w:pPr>
    <w:r w:rsidRPr="001B0AB1">
      <w:rPr>
        <w:b/>
        <w:bCs/>
        <w:color w:val="FFFFFF" w:themeColor="background1"/>
      </w:rPr>
      <w:t xml:space="preserve">Template: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655F" w14:textId="77777777" w:rsidR="00544333" w:rsidRDefault="00544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D095" w14:textId="77777777" w:rsidR="005D072C" w:rsidRPr="005D072C" w:rsidRDefault="005D072C" w:rsidP="005D0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345E3"/>
    <w:multiLevelType w:val="hybridMultilevel"/>
    <w:tmpl w:val="5C5EDB4E"/>
    <w:lvl w:ilvl="0" w:tplc="E6A6362C">
      <w:start w:val="1"/>
      <w:numFmt w:val="bullet"/>
      <w:lvlText w:val=""/>
      <w:lvlJc w:val="left"/>
      <w:pPr>
        <w:tabs>
          <w:tab w:val="num" w:pos="720"/>
        </w:tabs>
        <w:ind w:left="720" w:hanging="360"/>
      </w:pPr>
      <w:rPr>
        <w:rFonts w:ascii="Symbol" w:hAnsi="Symbol" w:hint="default"/>
        <w:color w:val="CF4A02"/>
      </w:rPr>
    </w:lvl>
    <w:lvl w:ilvl="1" w:tplc="89FAAC2A" w:tentative="1">
      <w:start w:val="1"/>
      <w:numFmt w:val="bullet"/>
      <w:lvlText w:val="•"/>
      <w:lvlJc w:val="left"/>
      <w:pPr>
        <w:tabs>
          <w:tab w:val="num" w:pos="1440"/>
        </w:tabs>
        <w:ind w:left="1440" w:hanging="360"/>
      </w:pPr>
      <w:rPr>
        <w:rFonts w:ascii="Arial" w:hAnsi="Arial" w:hint="default"/>
      </w:rPr>
    </w:lvl>
    <w:lvl w:ilvl="2" w:tplc="314CABB4" w:tentative="1">
      <w:start w:val="1"/>
      <w:numFmt w:val="bullet"/>
      <w:lvlText w:val="•"/>
      <w:lvlJc w:val="left"/>
      <w:pPr>
        <w:tabs>
          <w:tab w:val="num" w:pos="2160"/>
        </w:tabs>
        <w:ind w:left="2160" w:hanging="360"/>
      </w:pPr>
      <w:rPr>
        <w:rFonts w:ascii="Arial" w:hAnsi="Arial" w:hint="default"/>
      </w:rPr>
    </w:lvl>
    <w:lvl w:ilvl="3" w:tplc="9CA862BC" w:tentative="1">
      <w:start w:val="1"/>
      <w:numFmt w:val="bullet"/>
      <w:lvlText w:val="•"/>
      <w:lvlJc w:val="left"/>
      <w:pPr>
        <w:tabs>
          <w:tab w:val="num" w:pos="2880"/>
        </w:tabs>
        <w:ind w:left="2880" w:hanging="360"/>
      </w:pPr>
      <w:rPr>
        <w:rFonts w:ascii="Arial" w:hAnsi="Arial" w:hint="default"/>
      </w:rPr>
    </w:lvl>
    <w:lvl w:ilvl="4" w:tplc="5E22B0EE" w:tentative="1">
      <w:start w:val="1"/>
      <w:numFmt w:val="bullet"/>
      <w:lvlText w:val="•"/>
      <w:lvlJc w:val="left"/>
      <w:pPr>
        <w:tabs>
          <w:tab w:val="num" w:pos="3600"/>
        </w:tabs>
        <w:ind w:left="3600" w:hanging="360"/>
      </w:pPr>
      <w:rPr>
        <w:rFonts w:ascii="Arial" w:hAnsi="Arial" w:hint="default"/>
      </w:rPr>
    </w:lvl>
    <w:lvl w:ilvl="5" w:tplc="1798AB90" w:tentative="1">
      <w:start w:val="1"/>
      <w:numFmt w:val="bullet"/>
      <w:lvlText w:val="•"/>
      <w:lvlJc w:val="left"/>
      <w:pPr>
        <w:tabs>
          <w:tab w:val="num" w:pos="4320"/>
        </w:tabs>
        <w:ind w:left="4320" w:hanging="360"/>
      </w:pPr>
      <w:rPr>
        <w:rFonts w:ascii="Arial" w:hAnsi="Arial" w:hint="default"/>
      </w:rPr>
    </w:lvl>
    <w:lvl w:ilvl="6" w:tplc="655E5134" w:tentative="1">
      <w:start w:val="1"/>
      <w:numFmt w:val="bullet"/>
      <w:lvlText w:val="•"/>
      <w:lvlJc w:val="left"/>
      <w:pPr>
        <w:tabs>
          <w:tab w:val="num" w:pos="5040"/>
        </w:tabs>
        <w:ind w:left="5040" w:hanging="360"/>
      </w:pPr>
      <w:rPr>
        <w:rFonts w:ascii="Arial" w:hAnsi="Arial" w:hint="default"/>
      </w:rPr>
    </w:lvl>
    <w:lvl w:ilvl="7" w:tplc="9118B776" w:tentative="1">
      <w:start w:val="1"/>
      <w:numFmt w:val="bullet"/>
      <w:lvlText w:val="•"/>
      <w:lvlJc w:val="left"/>
      <w:pPr>
        <w:tabs>
          <w:tab w:val="num" w:pos="5760"/>
        </w:tabs>
        <w:ind w:left="5760" w:hanging="360"/>
      </w:pPr>
      <w:rPr>
        <w:rFonts w:ascii="Arial" w:hAnsi="Arial" w:hint="default"/>
      </w:rPr>
    </w:lvl>
    <w:lvl w:ilvl="8" w:tplc="D2FA45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5B68FF"/>
    <w:multiLevelType w:val="hybridMultilevel"/>
    <w:tmpl w:val="69CAF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4362B0"/>
    <w:multiLevelType w:val="hybridMultilevel"/>
    <w:tmpl w:val="5F268AE2"/>
    <w:lvl w:ilvl="0" w:tplc="08090001">
      <w:start w:val="1"/>
      <w:numFmt w:val="bullet"/>
      <w:lvlText w:val=""/>
      <w:lvlJc w:val="left"/>
      <w:pPr>
        <w:ind w:left="0" w:hanging="360"/>
      </w:pPr>
      <w:rPr>
        <w:rFonts w:ascii="Symbol" w:hAnsi="Symbol" w:hint="default"/>
        <w:color w:val="auto"/>
        <w:sz w:val="18"/>
        <w:szCs w:val="18"/>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46056F05"/>
    <w:multiLevelType w:val="multilevel"/>
    <w:tmpl w:val="CEE841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3C004CE"/>
    <w:multiLevelType w:val="hybridMultilevel"/>
    <w:tmpl w:val="558C334C"/>
    <w:lvl w:ilvl="0" w:tplc="3ADEC2A2">
      <w:start w:val="1"/>
      <w:numFmt w:val="bullet"/>
      <w:lvlText w:val=""/>
      <w:lvlJc w:val="left"/>
      <w:pPr>
        <w:ind w:left="720" w:hanging="360"/>
      </w:pPr>
      <w:rPr>
        <w:rFonts w:ascii="Symbol" w:hAnsi="Symbol" w:hint="default"/>
        <w:color w:val="CF4A0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C6BA1"/>
    <w:multiLevelType w:val="hybridMultilevel"/>
    <w:tmpl w:val="B426C4B8"/>
    <w:lvl w:ilvl="0" w:tplc="3CBC8590">
      <w:start w:val="1"/>
      <w:numFmt w:val="bullet"/>
      <w:lvlText w:val="•"/>
      <w:lvlJc w:val="left"/>
      <w:pPr>
        <w:tabs>
          <w:tab w:val="num" w:pos="720"/>
        </w:tabs>
        <w:ind w:left="720" w:hanging="360"/>
      </w:pPr>
      <w:rPr>
        <w:rFonts w:ascii="Arial" w:hAnsi="Arial" w:hint="default"/>
      </w:rPr>
    </w:lvl>
    <w:lvl w:ilvl="1" w:tplc="7D3E34FC" w:tentative="1">
      <w:start w:val="1"/>
      <w:numFmt w:val="bullet"/>
      <w:lvlText w:val="•"/>
      <w:lvlJc w:val="left"/>
      <w:pPr>
        <w:tabs>
          <w:tab w:val="num" w:pos="1440"/>
        </w:tabs>
        <w:ind w:left="1440" w:hanging="360"/>
      </w:pPr>
      <w:rPr>
        <w:rFonts w:ascii="Arial" w:hAnsi="Arial" w:hint="default"/>
      </w:rPr>
    </w:lvl>
    <w:lvl w:ilvl="2" w:tplc="3446E16E" w:tentative="1">
      <w:start w:val="1"/>
      <w:numFmt w:val="bullet"/>
      <w:lvlText w:val="•"/>
      <w:lvlJc w:val="left"/>
      <w:pPr>
        <w:tabs>
          <w:tab w:val="num" w:pos="2160"/>
        </w:tabs>
        <w:ind w:left="2160" w:hanging="360"/>
      </w:pPr>
      <w:rPr>
        <w:rFonts w:ascii="Arial" w:hAnsi="Arial" w:hint="default"/>
      </w:rPr>
    </w:lvl>
    <w:lvl w:ilvl="3" w:tplc="BAF4DC60" w:tentative="1">
      <w:start w:val="1"/>
      <w:numFmt w:val="bullet"/>
      <w:lvlText w:val="•"/>
      <w:lvlJc w:val="left"/>
      <w:pPr>
        <w:tabs>
          <w:tab w:val="num" w:pos="2880"/>
        </w:tabs>
        <w:ind w:left="2880" w:hanging="360"/>
      </w:pPr>
      <w:rPr>
        <w:rFonts w:ascii="Arial" w:hAnsi="Arial" w:hint="default"/>
      </w:rPr>
    </w:lvl>
    <w:lvl w:ilvl="4" w:tplc="CE867A04" w:tentative="1">
      <w:start w:val="1"/>
      <w:numFmt w:val="bullet"/>
      <w:lvlText w:val="•"/>
      <w:lvlJc w:val="left"/>
      <w:pPr>
        <w:tabs>
          <w:tab w:val="num" w:pos="3600"/>
        </w:tabs>
        <w:ind w:left="3600" w:hanging="360"/>
      </w:pPr>
      <w:rPr>
        <w:rFonts w:ascii="Arial" w:hAnsi="Arial" w:hint="default"/>
      </w:rPr>
    </w:lvl>
    <w:lvl w:ilvl="5" w:tplc="7E76075C" w:tentative="1">
      <w:start w:val="1"/>
      <w:numFmt w:val="bullet"/>
      <w:lvlText w:val="•"/>
      <w:lvlJc w:val="left"/>
      <w:pPr>
        <w:tabs>
          <w:tab w:val="num" w:pos="4320"/>
        </w:tabs>
        <w:ind w:left="4320" w:hanging="360"/>
      </w:pPr>
      <w:rPr>
        <w:rFonts w:ascii="Arial" w:hAnsi="Arial" w:hint="default"/>
      </w:rPr>
    </w:lvl>
    <w:lvl w:ilvl="6" w:tplc="BA5291C4" w:tentative="1">
      <w:start w:val="1"/>
      <w:numFmt w:val="bullet"/>
      <w:lvlText w:val="•"/>
      <w:lvlJc w:val="left"/>
      <w:pPr>
        <w:tabs>
          <w:tab w:val="num" w:pos="5040"/>
        </w:tabs>
        <w:ind w:left="5040" w:hanging="360"/>
      </w:pPr>
      <w:rPr>
        <w:rFonts w:ascii="Arial" w:hAnsi="Arial" w:hint="default"/>
      </w:rPr>
    </w:lvl>
    <w:lvl w:ilvl="7" w:tplc="B336C660" w:tentative="1">
      <w:start w:val="1"/>
      <w:numFmt w:val="bullet"/>
      <w:lvlText w:val="•"/>
      <w:lvlJc w:val="left"/>
      <w:pPr>
        <w:tabs>
          <w:tab w:val="num" w:pos="5760"/>
        </w:tabs>
        <w:ind w:left="5760" w:hanging="360"/>
      </w:pPr>
      <w:rPr>
        <w:rFonts w:ascii="Arial" w:hAnsi="Arial" w:hint="default"/>
      </w:rPr>
    </w:lvl>
    <w:lvl w:ilvl="8" w:tplc="DB1C5296" w:tentative="1">
      <w:start w:val="1"/>
      <w:numFmt w:val="bullet"/>
      <w:lvlText w:val="•"/>
      <w:lvlJc w:val="left"/>
      <w:pPr>
        <w:tabs>
          <w:tab w:val="num" w:pos="6480"/>
        </w:tabs>
        <w:ind w:left="6480" w:hanging="360"/>
      </w:pPr>
      <w:rPr>
        <w:rFonts w:ascii="Arial" w:hAnsi="Arial" w:hint="default"/>
      </w:rPr>
    </w:lvl>
  </w:abstractNum>
  <w:num w:numId="1" w16cid:durableId="1385061745">
    <w:abstractNumId w:val="0"/>
  </w:num>
  <w:num w:numId="2" w16cid:durableId="1638490778">
    <w:abstractNumId w:val="5"/>
  </w:num>
  <w:num w:numId="3" w16cid:durableId="509834526">
    <w:abstractNumId w:val="3"/>
  </w:num>
  <w:num w:numId="4" w16cid:durableId="783306425">
    <w:abstractNumId w:val="1"/>
  </w:num>
  <w:num w:numId="5" w16cid:durableId="240792155">
    <w:abstractNumId w:val="4"/>
  </w:num>
  <w:num w:numId="6" w16cid:durableId="447168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17"/>
    <w:rsid w:val="00010068"/>
    <w:rsid w:val="00017E33"/>
    <w:rsid w:val="000225EB"/>
    <w:rsid w:val="000255F8"/>
    <w:rsid w:val="00026EFC"/>
    <w:rsid w:val="00027D1F"/>
    <w:rsid w:val="00037A2C"/>
    <w:rsid w:val="000670FA"/>
    <w:rsid w:val="0007261D"/>
    <w:rsid w:val="00082DAD"/>
    <w:rsid w:val="000934BF"/>
    <w:rsid w:val="000B3C0F"/>
    <w:rsid w:val="000D07F2"/>
    <w:rsid w:val="000D3728"/>
    <w:rsid w:val="000D55B0"/>
    <w:rsid w:val="000D73C6"/>
    <w:rsid w:val="000F169F"/>
    <w:rsid w:val="0011601B"/>
    <w:rsid w:val="0013071E"/>
    <w:rsid w:val="001350DA"/>
    <w:rsid w:val="00155524"/>
    <w:rsid w:val="00162784"/>
    <w:rsid w:val="00170604"/>
    <w:rsid w:val="00181AAE"/>
    <w:rsid w:val="001914F3"/>
    <w:rsid w:val="0019499D"/>
    <w:rsid w:val="001A4828"/>
    <w:rsid w:val="001B0AB1"/>
    <w:rsid w:val="001D338E"/>
    <w:rsid w:val="001D69A9"/>
    <w:rsid w:val="001E54A5"/>
    <w:rsid w:val="001F0191"/>
    <w:rsid w:val="001F3F84"/>
    <w:rsid w:val="00204B31"/>
    <w:rsid w:val="00204FB3"/>
    <w:rsid w:val="00212260"/>
    <w:rsid w:val="00226E80"/>
    <w:rsid w:val="00226F0C"/>
    <w:rsid w:val="00230F87"/>
    <w:rsid w:val="00240078"/>
    <w:rsid w:val="0024059B"/>
    <w:rsid w:val="00245BB0"/>
    <w:rsid w:val="00254692"/>
    <w:rsid w:val="00272B60"/>
    <w:rsid w:val="00274A61"/>
    <w:rsid w:val="002757B2"/>
    <w:rsid w:val="0027680D"/>
    <w:rsid w:val="0028268F"/>
    <w:rsid w:val="00293140"/>
    <w:rsid w:val="002A1947"/>
    <w:rsid w:val="002A3C6C"/>
    <w:rsid w:val="002B1080"/>
    <w:rsid w:val="002C5A97"/>
    <w:rsid w:val="002C6202"/>
    <w:rsid w:val="002D0EEA"/>
    <w:rsid w:val="002D2FF7"/>
    <w:rsid w:val="002D54B5"/>
    <w:rsid w:val="002D6499"/>
    <w:rsid w:val="002E62F0"/>
    <w:rsid w:val="002F280C"/>
    <w:rsid w:val="002F323F"/>
    <w:rsid w:val="00320F29"/>
    <w:rsid w:val="0032670A"/>
    <w:rsid w:val="0034029B"/>
    <w:rsid w:val="00341CAE"/>
    <w:rsid w:val="00342853"/>
    <w:rsid w:val="0035303A"/>
    <w:rsid w:val="00366074"/>
    <w:rsid w:val="00371057"/>
    <w:rsid w:val="00373230"/>
    <w:rsid w:val="00382E88"/>
    <w:rsid w:val="00395950"/>
    <w:rsid w:val="00397881"/>
    <w:rsid w:val="003A3F8C"/>
    <w:rsid w:val="003B4629"/>
    <w:rsid w:val="003B4694"/>
    <w:rsid w:val="003D28C5"/>
    <w:rsid w:val="003D3D27"/>
    <w:rsid w:val="003E4322"/>
    <w:rsid w:val="003F06EF"/>
    <w:rsid w:val="003F125C"/>
    <w:rsid w:val="003F31CA"/>
    <w:rsid w:val="003F58F6"/>
    <w:rsid w:val="00401F31"/>
    <w:rsid w:val="00411300"/>
    <w:rsid w:val="0041398E"/>
    <w:rsid w:val="00414571"/>
    <w:rsid w:val="00423916"/>
    <w:rsid w:val="00423E70"/>
    <w:rsid w:val="0042637E"/>
    <w:rsid w:val="00433A38"/>
    <w:rsid w:val="00446E26"/>
    <w:rsid w:val="004566F3"/>
    <w:rsid w:val="004664E6"/>
    <w:rsid w:val="00476693"/>
    <w:rsid w:val="00482C12"/>
    <w:rsid w:val="00483AD9"/>
    <w:rsid w:val="00484906"/>
    <w:rsid w:val="0049535D"/>
    <w:rsid w:val="004B6433"/>
    <w:rsid w:val="004B7F28"/>
    <w:rsid w:val="004D5A37"/>
    <w:rsid w:val="004E0135"/>
    <w:rsid w:val="004F0462"/>
    <w:rsid w:val="004F0E15"/>
    <w:rsid w:val="004F3206"/>
    <w:rsid w:val="004F5E71"/>
    <w:rsid w:val="00502230"/>
    <w:rsid w:val="005063B2"/>
    <w:rsid w:val="005134EC"/>
    <w:rsid w:val="00516A69"/>
    <w:rsid w:val="00516CF7"/>
    <w:rsid w:val="0052179C"/>
    <w:rsid w:val="005237A1"/>
    <w:rsid w:val="005273D6"/>
    <w:rsid w:val="005355B0"/>
    <w:rsid w:val="00537411"/>
    <w:rsid w:val="00544333"/>
    <w:rsid w:val="005542BB"/>
    <w:rsid w:val="00565DDE"/>
    <w:rsid w:val="00582E8B"/>
    <w:rsid w:val="00592A4F"/>
    <w:rsid w:val="005A5E7F"/>
    <w:rsid w:val="005B1E87"/>
    <w:rsid w:val="005B49D6"/>
    <w:rsid w:val="005D072C"/>
    <w:rsid w:val="005D2740"/>
    <w:rsid w:val="005E0FD8"/>
    <w:rsid w:val="005E3E6C"/>
    <w:rsid w:val="005F1C97"/>
    <w:rsid w:val="005F433E"/>
    <w:rsid w:val="00620568"/>
    <w:rsid w:val="0064199D"/>
    <w:rsid w:val="00644EF6"/>
    <w:rsid w:val="00653581"/>
    <w:rsid w:val="00653860"/>
    <w:rsid w:val="00654F92"/>
    <w:rsid w:val="00656E24"/>
    <w:rsid w:val="006651E7"/>
    <w:rsid w:val="00671FA7"/>
    <w:rsid w:val="00673BE1"/>
    <w:rsid w:val="006845E9"/>
    <w:rsid w:val="00684C98"/>
    <w:rsid w:val="00686D35"/>
    <w:rsid w:val="006933C3"/>
    <w:rsid w:val="00693559"/>
    <w:rsid w:val="00694F4F"/>
    <w:rsid w:val="006A025C"/>
    <w:rsid w:val="006A1977"/>
    <w:rsid w:val="006A5938"/>
    <w:rsid w:val="006C0144"/>
    <w:rsid w:val="006D623A"/>
    <w:rsid w:val="006E26D3"/>
    <w:rsid w:val="006E2ABA"/>
    <w:rsid w:val="006E3CD2"/>
    <w:rsid w:val="006E73A1"/>
    <w:rsid w:val="006F0131"/>
    <w:rsid w:val="007033BC"/>
    <w:rsid w:val="00711EFC"/>
    <w:rsid w:val="00712BBB"/>
    <w:rsid w:val="00713570"/>
    <w:rsid w:val="00722B1A"/>
    <w:rsid w:val="00726691"/>
    <w:rsid w:val="00737EDA"/>
    <w:rsid w:val="00740745"/>
    <w:rsid w:val="0074210C"/>
    <w:rsid w:val="00742EBD"/>
    <w:rsid w:val="007464D1"/>
    <w:rsid w:val="00747C86"/>
    <w:rsid w:val="00756973"/>
    <w:rsid w:val="00762372"/>
    <w:rsid w:val="0076449E"/>
    <w:rsid w:val="00771B97"/>
    <w:rsid w:val="00772075"/>
    <w:rsid w:val="00786201"/>
    <w:rsid w:val="00787BDF"/>
    <w:rsid w:val="00790517"/>
    <w:rsid w:val="0079754F"/>
    <w:rsid w:val="00797D0D"/>
    <w:rsid w:val="007A3ACC"/>
    <w:rsid w:val="007B209C"/>
    <w:rsid w:val="007C1739"/>
    <w:rsid w:val="007C2DA4"/>
    <w:rsid w:val="007C567C"/>
    <w:rsid w:val="007D34F1"/>
    <w:rsid w:val="007E5324"/>
    <w:rsid w:val="007F728E"/>
    <w:rsid w:val="00807A8C"/>
    <w:rsid w:val="0083580C"/>
    <w:rsid w:val="008462E3"/>
    <w:rsid w:val="00846407"/>
    <w:rsid w:val="0085314E"/>
    <w:rsid w:val="00861232"/>
    <w:rsid w:val="00862C64"/>
    <w:rsid w:val="00863A30"/>
    <w:rsid w:val="008640AC"/>
    <w:rsid w:val="008658BE"/>
    <w:rsid w:val="008703DF"/>
    <w:rsid w:val="00882757"/>
    <w:rsid w:val="00886FDA"/>
    <w:rsid w:val="008877E2"/>
    <w:rsid w:val="008A151F"/>
    <w:rsid w:val="008A4E40"/>
    <w:rsid w:val="008B018B"/>
    <w:rsid w:val="008B129D"/>
    <w:rsid w:val="008B345C"/>
    <w:rsid w:val="008B5577"/>
    <w:rsid w:val="008C2E45"/>
    <w:rsid w:val="008D0003"/>
    <w:rsid w:val="008D35FC"/>
    <w:rsid w:val="008D64B8"/>
    <w:rsid w:val="008E0FC2"/>
    <w:rsid w:val="008F2BC9"/>
    <w:rsid w:val="00900250"/>
    <w:rsid w:val="009009AE"/>
    <w:rsid w:val="00906B28"/>
    <w:rsid w:val="00910A06"/>
    <w:rsid w:val="009164FB"/>
    <w:rsid w:val="00922275"/>
    <w:rsid w:val="0092331A"/>
    <w:rsid w:val="00927247"/>
    <w:rsid w:val="009352AF"/>
    <w:rsid w:val="00945B39"/>
    <w:rsid w:val="00951558"/>
    <w:rsid w:val="00951ACC"/>
    <w:rsid w:val="00951D4E"/>
    <w:rsid w:val="00956D0D"/>
    <w:rsid w:val="00956D4E"/>
    <w:rsid w:val="00972181"/>
    <w:rsid w:val="009862D7"/>
    <w:rsid w:val="00990690"/>
    <w:rsid w:val="00995360"/>
    <w:rsid w:val="009A197D"/>
    <w:rsid w:val="009A3D17"/>
    <w:rsid w:val="009A42EC"/>
    <w:rsid w:val="009A4423"/>
    <w:rsid w:val="009B2C68"/>
    <w:rsid w:val="009B7FCB"/>
    <w:rsid w:val="009C0919"/>
    <w:rsid w:val="009C0968"/>
    <w:rsid w:val="009C6682"/>
    <w:rsid w:val="009D6BF8"/>
    <w:rsid w:val="009D6C4B"/>
    <w:rsid w:val="009E32E0"/>
    <w:rsid w:val="009E67FA"/>
    <w:rsid w:val="009E7F8F"/>
    <w:rsid w:val="009F1110"/>
    <w:rsid w:val="00A00386"/>
    <w:rsid w:val="00A00D07"/>
    <w:rsid w:val="00A019FF"/>
    <w:rsid w:val="00A12394"/>
    <w:rsid w:val="00A1411C"/>
    <w:rsid w:val="00A14C8D"/>
    <w:rsid w:val="00A15B76"/>
    <w:rsid w:val="00A17EC3"/>
    <w:rsid w:val="00A3326E"/>
    <w:rsid w:val="00A366A9"/>
    <w:rsid w:val="00A3737F"/>
    <w:rsid w:val="00A51D13"/>
    <w:rsid w:val="00A60355"/>
    <w:rsid w:val="00A61058"/>
    <w:rsid w:val="00A66124"/>
    <w:rsid w:val="00A744DF"/>
    <w:rsid w:val="00A80C46"/>
    <w:rsid w:val="00A92691"/>
    <w:rsid w:val="00A94FA2"/>
    <w:rsid w:val="00A97EC9"/>
    <w:rsid w:val="00AA1DD7"/>
    <w:rsid w:val="00AA3D7F"/>
    <w:rsid w:val="00AA5E8C"/>
    <w:rsid w:val="00AA6F52"/>
    <w:rsid w:val="00AB7981"/>
    <w:rsid w:val="00AC038F"/>
    <w:rsid w:val="00AC1524"/>
    <w:rsid w:val="00AD2313"/>
    <w:rsid w:val="00AD5A9C"/>
    <w:rsid w:val="00AE1458"/>
    <w:rsid w:val="00AE4390"/>
    <w:rsid w:val="00AF7479"/>
    <w:rsid w:val="00B05522"/>
    <w:rsid w:val="00B26CC2"/>
    <w:rsid w:val="00B41448"/>
    <w:rsid w:val="00B425D1"/>
    <w:rsid w:val="00B51959"/>
    <w:rsid w:val="00B5198A"/>
    <w:rsid w:val="00B537F6"/>
    <w:rsid w:val="00B82C04"/>
    <w:rsid w:val="00B9145A"/>
    <w:rsid w:val="00B91979"/>
    <w:rsid w:val="00BA0D10"/>
    <w:rsid w:val="00BA0ECB"/>
    <w:rsid w:val="00BA46DF"/>
    <w:rsid w:val="00BB4566"/>
    <w:rsid w:val="00BB544D"/>
    <w:rsid w:val="00BB70EC"/>
    <w:rsid w:val="00BC5F8C"/>
    <w:rsid w:val="00BC6F60"/>
    <w:rsid w:val="00BD5FF4"/>
    <w:rsid w:val="00BF0E45"/>
    <w:rsid w:val="00BF4028"/>
    <w:rsid w:val="00BF408C"/>
    <w:rsid w:val="00BF6676"/>
    <w:rsid w:val="00C040CB"/>
    <w:rsid w:val="00C0435E"/>
    <w:rsid w:val="00C04C6A"/>
    <w:rsid w:val="00C15B62"/>
    <w:rsid w:val="00C17413"/>
    <w:rsid w:val="00C211BD"/>
    <w:rsid w:val="00C24903"/>
    <w:rsid w:val="00C31F3B"/>
    <w:rsid w:val="00C46DA4"/>
    <w:rsid w:val="00C47427"/>
    <w:rsid w:val="00C5035E"/>
    <w:rsid w:val="00C55BA6"/>
    <w:rsid w:val="00C57B30"/>
    <w:rsid w:val="00C6140A"/>
    <w:rsid w:val="00C63DB0"/>
    <w:rsid w:val="00C66D74"/>
    <w:rsid w:val="00C76825"/>
    <w:rsid w:val="00CA1C5C"/>
    <w:rsid w:val="00CB61C3"/>
    <w:rsid w:val="00CC31F6"/>
    <w:rsid w:val="00CC5BB2"/>
    <w:rsid w:val="00CD3942"/>
    <w:rsid w:val="00CE0DD6"/>
    <w:rsid w:val="00CE0EF1"/>
    <w:rsid w:val="00CE4663"/>
    <w:rsid w:val="00CE796C"/>
    <w:rsid w:val="00D0685C"/>
    <w:rsid w:val="00D07F3D"/>
    <w:rsid w:val="00D11F81"/>
    <w:rsid w:val="00D151A3"/>
    <w:rsid w:val="00D52E07"/>
    <w:rsid w:val="00D67C92"/>
    <w:rsid w:val="00D75675"/>
    <w:rsid w:val="00D7661B"/>
    <w:rsid w:val="00D800C9"/>
    <w:rsid w:val="00D81944"/>
    <w:rsid w:val="00D8399A"/>
    <w:rsid w:val="00D843AF"/>
    <w:rsid w:val="00D85006"/>
    <w:rsid w:val="00D902B7"/>
    <w:rsid w:val="00DA2AE6"/>
    <w:rsid w:val="00DB14CE"/>
    <w:rsid w:val="00DB44FA"/>
    <w:rsid w:val="00DD0B30"/>
    <w:rsid w:val="00DE268D"/>
    <w:rsid w:val="00DE2817"/>
    <w:rsid w:val="00DE40F8"/>
    <w:rsid w:val="00DF2EFD"/>
    <w:rsid w:val="00E0088A"/>
    <w:rsid w:val="00E0219F"/>
    <w:rsid w:val="00E02E15"/>
    <w:rsid w:val="00E04C98"/>
    <w:rsid w:val="00E07F94"/>
    <w:rsid w:val="00E23C59"/>
    <w:rsid w:val="00E304A2"/>
    <w:rsid w:val="00E3702E"/>
    <w:rsid w:val="00E43866"/>
    <w:rsid w:val="00E43F04"/>
    <w:rsid w:val="00E45FCA"/>
    <w:rsid w:val="00E46776"/>
    <w:rsid w:val="00E507A3"/>
    <w:rsid w:val="00E517BB"/>
    <w:rsid w:val="00E558AC"/>
    <w:rsid w:val="00E65C94"/>
    <w:rsid w:val="00E74204"/>
    <w:rsid w:val="00E76006"/>
    <w:rsid w:val="00E82876"/>
    <w:rsid w:val="00E87E8B"/>
    <w:rsid w:val="00E94227"/>
    <w:rsid w:val="00E95934"/>
    <w:rsid w:val="00EA7B68"/>
    <w:rsid w:val="00EB1130"/>
    <w:rsid w:val="00EB5EC5"/>
    <w:rsid w:val="00EB6175"/>
    <w:rsid w:val="00EC34C2"/>
    <w:rsid w:val="00ED0942"/>
    <w:rsid w:val="00ED363E"/>
    <w:rsid w:val="00EE17E9"/>
    <w:rsid w:val="00EF26F0"/>
    <w:rsid w:val="00EF3D0B"/>
    <w:rsid w:val="00F31245"/>
    <w:rsid w:val="00F317B3"/>
    <w:rsid w:val="00F33792"/>
    <w:rsid w:val="00F46BA9"/>
    <w:rsid w:val="00F637DD"/>
    <w:rsid w:val="00F66446"/>
    <w:rsid w:val="00F67AF3"/>
    <w:rsid w:val="00F75A3C"/>
    <w:rsid w:val="00F77CB8"/>
    <w:rsid w:val="00F81D96"/>
    <w:rsid w:val="00F822F5"/>
    <w:rsid w:val="00F852F8"/>
    <w:rsid w:val="00F90D4C"/>
    <w:rsid w:val="00F90E1D"/>
    <w:rsid w:val="00F969C9"/>
    <w:rsid w:val="00FA45D7"/>
    <w:rsid w:val="00FA6ED3"/>
    <w:rsid w:val="00FB0E75"/>
    <w:rsid w:val="00FB5EC2"/>
    <w:rsid w:val="00FC0F37"/>
    <w:rsid w:val="00FC64F9"/>
    <w:rsid w:val="00FD06DA"/>
    <w:rsid w:val="00FD2079"/>
    <w:rsid w:val="00FD2914"/>
    <w:rsid w:val="00FD3E3F"/>
    <w:rsid w:val="00FD4A8D"/>
    <w:rsid w:val="00FE4939"/>
    <w:rsid w:val="00FE4B9E"/>
    <w:rsid w:val="00FE5851"/>
    <w:rsid w:val="00FE5E54"/>
    <w:rsid w:val="00FE6CF3"/>
    <w:rsid w:val="00FE7579"/>
    <w:rsid w:val="00FE7D5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815CC"/>
  <w15:chartTrackingRefBased/>
  <w15:docId w15:val="{11436D21-2B3A-41AA-A875-249056E2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51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1D338E"/>
    <w:pPr>
      <w:tabs>
        <w:tab w:val="center" w:pos="4513"/>
        <w:tab w:val="right" w:pos="9026"/>
      </w:tabs>
      <w:spacing w:after="0" w:line="240" w:lineRule="auto"/>
    </w:pPr>
  </w:style>
  <w:style w:type="character" w:customStyle="1" w:styleId="HeaderChar">
    <w:name w:val="Header Char"/>
    <w:basedOn w:val="DefaultParagraphFont"/>
    <w:link w:val="Header"/>
    <w:rsid w:val="001D338E"/>
  </w:style>
  <w:style w:type="paragraph" w:styleId="Footer">
    <w:name w:val="footer"/>
    <w:basedOn w:val="Normal"/>
    <w:link w:val="FooterChar"/>
    <w:uiPriority w:val="99"/>
    <w:unhideWhenUsed/>
    <w:rsid w:val="001D3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38E"/>
  </w:style>
  <w:style w:type="table" w:styleId="TableGrid">
    <w:name w:val="Table Grid"/>
    <w:basedOn w:val="TableNormal"/>
    <w:uiPriority w:val="39"/>
    <w:rsid w:val="00747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979"/>
    <w:pPr>
      <w:ind w:left="720"/>
      <w:contextualSpacing/>
    </w:pPr>
  </w:style>
  <w:style w:type="paragraph" w:styleId="FootnoteText">
    <w:name w:val="footnote text"/>
    <w:basedOn w:val="Normal"/>
    <w:link w:val="FootnoteTextChar"/>
    <w:semiHidden/>
    <w:rsid w:val="005B49D6"/>
    <w:pPr>
      <w:spacing w:after="0" w:line="240" w:lineRule="auto"/>
    </w:pPr>
    <w:rPr>
      <w:rFonts w:ascii="Times New Roman" w:eastAsia="Times New Roman" w:hAnsi="Times New Roman" w:cs="Times New Roman"/>
      <w:sz w:val="20"/>
      <w:szCs w:val="20"/>
      <w:lang w:eastAsia="en-GB" w:bidi="ar-SA"/>
    </w:rPr>
  </w:style>
  <w:style w:type="character" w:customStyle="1" w:styleId="FootnoteTextChar">
    <w:name w:val="Footnote Text Char"/>
    <w:basedOn w:val="DefaultParagraphFont"/>
    <w:link w:val="FootnoteText"/>
    <w:semiHidden/>
    <w:rsid w:val="005B49D6"/>
    <w:rPr>
      <w:rFonts w:ascii="Times New Roman" w:eastAsia="Times New Roman" w:hAnsi="Times New Roman" w:cs="Times New Roman"/>
      <w:sz w:val="20"/>
      <w:szCs w:val="20"/>
      <w:lang w:eastAsia="en-GB" w:bidi="ar-SA"/>
    </w:rPr>
  </w:style>
  <w:style w:type="character" w:styleId="FootnoteReference">
    <w:name w:val="footnote reference"/>
    <w:basedOn w:val="DefaultParagraphFont"/>
    <w:semiHidden/>
    <w:rsid w:val="005B49D6"/>
    <w:rPr>
      <w:vertAlign w:val="superscript"/>
    </w:rPr>
  </w:style>
  <w:style w:type="paragraph" w:customStyle="1" w:styleId="bodytext">
    <w:name w:val="bodytext"/>
    <w:basedOn w:val="Normal"/>
    <w:rsid w:val="00A17EC3"/>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textemphasis">
    <w:name w:val="textemphasis"/>
    <w:basedOn w:val="DefaultParagraphFont"/>
    <w:rsid w:val="00A17EC3"/>
  </w:style>
  <w:style w:type="paragraph" w:styleId="BalloonText">
    <w:name w:val="Balloon Text"/>
    <w:basedOn w:val="Normal"/>
    <w:link w:val="BalloonTextChar"/>
    <w:uiPriority w:val="99"/>
    <w:semiHidden/>
    <w:unhideWhenUsed/>
    <w:rsid w:val="009D6C4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D6C4B"/>
    <w:rPr>
      <w:rFonts w:ascii="Segoe UI" w:hAnsi="Segoe UI" w:cs="Angsana New"/>
      <w:sz w:val="18"/>
      <w:szCs w:val="22"/>
    </w:rPr>
  </w:style>
  <w:style w:type="paragraph" w:styleId="Caption">
    <w:name w:val="caption"/>
    <w:basedOn w:val="Normal"/>
    <w:next w:val="Normal"/>
    <w:qFormat/>
    <w:rsid w:val="00A61058"/>
    <w:pPr>
      <w:spacing w:after="0" w:line="240" w:lineRule="exact"/>
    </w:pPr>
    <w:rPr>
      <w:rFonts w:ascii="Times New Roman" w:eastAsia="Times New Roman" w:hAnsi="Times New Roman" w:cs="Angsana New"/>
      <w:b/>
      <w:bCs/>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7109">
      <w:bodyDiv w:val="1"/>
      <w:marLeft w:val="0"/>
      <w:marRight w:val="0"/>
      <w:marTop w:val="0"/>
      <w:marBottom w:val="0"/>
      <w:divBdr>
        <w:top w:val="none" w:sz="0" w:space="0" w:color="auto"/>
        <w:left w:val="none" w:sz="0" w:space="0" w:color="auto"/>
        <w:bottom w:val="none" w:sz="0" w:space="0" w:color="auto"/>
        <w:right w:val="none" w:sz="0" w:space="0" w:color="auto"/>
      </w:divBdr>
    </w:div>
    <w:div w:id="488984354">
      <w:bodyDiv w:val="1"/>
      <w:marLeft w:val="0"/>
      <w:marRight w:val="0"/>
      <w:marTop w:val="0"/>
      <w:marBottom w:val="0"/>
      <w:divBdr>
        <w:top w:val="none" w:sz="0" w:space="0" w:color="auto"/>
        <w:left w:val="none" w:sz="0" w:space="0" w:color="auto"/>
        <w:bottom w:val="none" w:sz="0" w:space="0" w:color="auto"/>
        <w:right w:val="none" w:sz="0" w:space="0" w:color="auto"/>
      </w:divBdr>
    </w:div>
    <w:div w:id="611715783">
      <w:bodyDiv w:val="1"/>
      <w:marLeft w:val="0"/>
      <w:marRight w:val="0"/>
      <w:marTop w:val="0"/>
      <w:marBottom w:val="0"/>
      <w:divBdr>
        <w:top w:val="none" w:sz="0" w:space="0" w:color="auto"/>
        <w:left w:val="none" w:sz="0" w:space="0" w:color="auto"/>
        <w:bottom w:val="none" w:sz="0" w:space="0" w:color="auto"/>
        <w:right w:val="none" w:sz="0" w:space="0" w:color="auto"/>
      </w:divBdr>
    </w:div>
    <w:div w:id="795879320">
      <w:bodyDiv w:val="1"/>
      <w:marLeft w:val="0"/>
      <w:marRight w:val="0"/>
      <w:marTop w:val="0"/>
      <w:marBottom w:val="0"/>
      <w:divBdr>
        <w:top w:val="none" w:sz="0" w:space="0" w:color="auto"/>
        <w:left w:val="none" w:sz="0" w:space="0" w:color="auto"/>
        <w:bottom w:val="none" w:sz="0" w:space="0" w:color="auto"/>
        <w:right w:val="none" w:sz="0" w:space="0" w:color="auto"/>
      </w:divBdr>
      <w:divsChild>
        <w:div w:id="721749901">
          <w:marLeft w:val="0"/>
          <w:marRight w:val="0"/>
          <w:marTop w:val="0"/>
          <w:marBottom w:val="205"/>
          <w:divBdr>
            <w:top w:val="none" w:sz="0" w:space="0" w:color="auto"/>
            <w:left w:val="none" w:sz="0" w:space="0" w:color="auto"/>
            <w:bottom w:val="none" w:sz="0" w:space="0" w:color="auto"/>
            <w:right w:val="none" w:sz="0" w:space="0" w:color="auto"/>
          </w:divBdr>
        </w:div>
      </w:divsChild>
    </w:div>
    <w:div w:id="1054811725">
      <w:bodyDiv w:val="1"/>
      <w:marLeft w:val="0"/>
      <w:marRight w:val="0"/>
      <w:marTop w:val="0"/>
      <w:marBottom w:val="0"/>
      <w:divBdr>
        <w:top w:val="none" w:sz="0" w:space="0" w:color="auto"/>
        <w:left w:val="none" w:sz="0" w:space="0" w:color="auto"/>
        <w:bottom w:val="none" w:sz="0" w:space="0" w:color="auto"/>
        <w:right w:val="none" w:sz="0" w:space="0" w:color="auto"/>
      </w:divBdr>
      <w:divsChild>
        <w:div w:id="805926640">
          <w:marLeft w:val="0"/>
          <w:marRight w:val="0"/>
          <w:marTop w:val="0"/>
          <w:marBottom w:val="205"/>
          <w:divBdr>
            <w:top w:val="none" w:sz="0" w:space="0" w:color="auto"/>
            <w:left w:val="none" w:sz="0" w:space="0" w:color="auto"/>
            <w:bottom w:val="none" w:sz="0" w:space="0" w:color="auto"/>
            <w:right w:val="none" w:sz="0" w:space="0" w:color="auto"/>
          </w:divBdr>
        </w:div>
        <w:div w:id="559363201">
          <w:marLeft w:val="0"/>
          <w:marRight w:val="0"/>
          <w:marTop w:val="0"/>
          <w:marBottom w:val="205"/>
          <w:divBdr>
            <w:top w:val="none" w:sz="0" w:space="0" w:color="auto"/>
            <w:left w:val="none" w:sz="0" w:space="0" w:color="auto"/>
            <w:bottom w:val="none" w:sz="0" w:space="0" w:color="auto"/>
            <w:right w:val="none" w:sz="0" w:space="0" w:color="auto"/>
          </w:divBdr>
        </w:div>
        <w:div w:id="493879372">
          <w:marLeft w:val="0"/>
          <w:marRight w:val="0"/>
          <w:marTop w:val="0"/>
          <w:marBottom w:val="205"/>
          <w:divBdr>
            <w:top w:val="none" w:sz="0" w:space="0" w:color="auto"/>
            <w:left w:val="none" w:sz="0" w:space="0" w:color="auto"/>
            <w:bottom w:val="none" w:sz="0" w:space="0" w:color="auto"/>
            <w:right w:val="none" w:sz="0" w:space="0" w:color="auto"/>
          </w:divBdr>
        </w:div>
        <w:div w:id="753943049">
          <w:marLeft w:val="0"/>
          <w:marRight w:val="0"/>
          <w:marTop w:val="0"/>
          <w:marBottom w:val="205"/>
          <w:divBdr>
            <w:top w:val="none" w:sz="0" w:space="0" w:color="auto"/>
            <w:left w:val="none" w:sz="0" w:space="0" w:color="auto"/>
            <w:bottom w:val="none" w:sz="0" w:space="0" w:color="auto"/>
            <w:right w:val="none" w:sz="0" w:space="0" w:color="auto"/>
          </w:divBdr>
        </w:div>
        <w:div w:id="1678845176">
          <w:marLeft w:val="0"/>
          <w:marRight w:val="0"/>
          <w:marTop w:val="0"/>
          <w:marBottom w:val="205"/>
          <w:divBdr>
            <w:top w:val="none" w:sz="0" w:space="0" w:color="auto"/>
            <w:left w:val="none" w:sz="0" w:space="0" w:color="auto"/>
            <w:bottom w:val="none" w:sz="0" w:space="0" w:color="auto"/>
            <w:right w:val="none" w:sz="0" w:space="0" w:color="auto"/>
          </w:divBdr>
        </w:div>
      </w:divsChild>
    </w:div>
    <w:div w:id="1513765977">
      <w:bodyDiv w:val="1"/>
      <w:marLeft w:val="0"/>
      <w:marRight w:val="0"/>
      <w:marTop w:val="0"/>
      <w:marBottom w:val="0"/>
      <w:divBdr>
        <w:top w:val="none" w:sz="0" w:space="0" w:color="auto"/>
        <w:left w:val="none" w:sz="0" w:space="0" w:color="auto"/>
        <w:bottom w:val="none" w:sz="0" w:space="0" w:color="auto"/>
        <w:right w:val="none" w:sz="0" w:space="0" w:color="auto"/>
      </w:divBdr>
    </w:div>
    <w:div w:id="1800759076">
      <w:bodyDiv w:val="1"/>
      <w:marLeft w:val="0"/>
      <w:marRight w:val="0"/>
      <w:marTop w:val="0"/>
      <w:marBottom w:val="0"/>
      <w:divBdr>
        <w:top w:val="none" w:sz="0" w:space="0" w:color="auto"/>
        <w:left w:val="none" w:sz="0" w:space="0" w:color="auto"/>
        <w:bottom w:val="none" w:sz="0" w:space="0" w:color="auto"/>
        <w:right w:val="none" w:sz="0" w:space="0" w:color="auto"/>
      </w:divBdr>
    </w:div>
    <w:div w:id="1860388389">
      <w:bodyDiv w:val="1"/>
      <w:marLeft w:val="0"/>
      <w:marRight w:val="0"/>
      <w:marTop w:val="0"/>
      <w:marBottom w:val="0"/>
      <w:divBdr>
        <w:top w:val="none" w:sz="0" w:space="0" w:color="auto"/>
        <w:left w:val="none" w:sz="0" w:space="0" w:color="auto"/>
        <w:bottom w:val="none" w:sz="0" w:space="0" w:color="auto"/>
        <w:right w:val="none" w:sz="0" w:space="0" w:color="auto"/>
      </w:divBdr>
    </w:div>
    <w:div w:id="1874922316">
      <w:bodyDiv w:val="1"/>
      <w:marLeft w:val="0"/>
      <w:marRight w:val="0"/>
      <w:marTop w:val="0"/>
      <w:marBottom w:val="0"/>
      <w:divBdr>
        <w:top w:val="none" w:sz="0" w:space="0" w:color="auto"/>
        <w:left w:val="none" w:sz="0" w:space="0" w:color="auto"/>
        <w:bottom w:val="none" w:sz="0" w:space="0" w:color="auto"/>
        <w:right w:val="none" w:sz="0" w:space="0" w:color="auto"/>
      </w:divBdr>
    </w:div>
    <w:div w:id="20587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77866-885E-404F-BB65-982FFC04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Jiranuth Koolmongkulrat</dc:creator>
  <cp:keywords/>
  <dc:description/>
  <cp:lastModifiedBy>Apisara Jintanakarn (TH)</cp:lastModifiedBy>
  <cp:revision>18</cp:revision>
  <cp:lastPrinted>2023-02-28T09:04:00Z</cp:lastPrinted>
  <dcterms:created xsi:type="dcterms:W3CDTF">2024-02-20T17:52:00Z</dcterms:created>
  <dcterms:modified xsi:type="dcterms:W3CDTF">2024-02-23T08:01:00Z</dcterms:modified>
</cp:coreProperties>
</file>